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7" w:rsidRPr="006849C9" w:rsidRDefault="004B451E" w:rsidP="00492137">
      <w:pPr>
        <w:pStyle w:val="1"/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</w:pPr>
      <w:bookmarkStart w:id="0" w:name="_Toc34389838"/>
      <w:r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Π</w:t>
      </w:r>
      <w:r w:rsidR="00492137"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ΑΡΑΡΤΗΜΑ I</w:t>
      </w:r>
      <w:r w:rsidR="006849C9"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ΙΙ</w:t>
      </w:r>
      <w:r w:rsidR="00492137"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 xml:space="preserve"> – ΠΙΝΑΚΑΣ ΟΙΚΟΝΟΜΙΚΗΣ ΠΡΟΣΦΟΡΑΣ</w:t>
      </w:r>
      <w:bookmarkEnd w:id="0"/>
    </w:p>
    <w:p w:rsidR="00492137" w:rsidRDefault="00492137" w:rsidP="00492137">
      <w:pPr>
        <w:rPr>
          <w:b/>
        </w:rPr>
      </w:pPr>
    </w:p>
    <w:p w:rsidR="00492137" w:rsidRDefault="00492137" w:rsidP="00492137">
      <w:pPr>
        <w:rPr>
          <w:rFonts w:cs="Calibri"/>
        </w:rPr>
      </w:pPr>
      <w:r w:rsidRPr="00F12FDA">
        <w:rPr>
          <w:rFonts w:cs="Calibri"/>
        </w:rPr>
        <w:t>Στον παρακάτω πίνακα ο οικονομικός φορέας συμπληρώνει μόνο τα σκιασμένα κελιά.</w:t>
      </w:r>
    </w:p>
    <w:p w:rsidR="00492137" w:rsidRPr="00F12FDA" w:rsidRDefault="00492137" w:rsidP="00492137">
      <w:pPr>
        <w:rPr>
          <w:rFonts w:cs="Calibri"/>
        </w:rPr>
      </w:pPr>
    </w:p>
    <w:tbl>
      <w:tblPr>
        <w:tblW w:w="9498" w:type="dxa"/>
        <w:tblInd w:w="-601" w:type="dxa"/>
        <w:tblLayout w:type="fixed"/>
        <w:tblLook w:val="04A0"/>
      </w:tblPr>
      <w:tblGrid>
        <w:gridCol w:w="3544"/>
        <w:gridCol w:w="2127"/>
        <w:gridCol w:w="1984"/>
        <w:gridCol w:w="1843"/>
      </w:tblGrid>
      <w:tr w:rsidR="00924163" w:rsidRPr="00F96813" w:rsidTr="0063229C">
        <w:trPr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ΚΑΤΗΓΟΡΙΑ ΠΑΡΕΧΟΜΕΝΗΣ ΥΠΗΡΕΣΙΑΣ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ΕΚΤΙΜΩΜΕΝΗ ΔΑΠΑΝΗ ΑΝΑ ΜΕΤΑΦΟΡΑ ΧΩΡΙΣ ΦΠΑ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ΠΡΟΣΦΕΡΟΜΕΝΗ ΤΙΜΗ/ΜΟΝΑΔΑ ΧΩΡΙΣ ΦΠΑ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ΠΡΟΣΦΕΡΟΜΕΝΗ ΤΙΜΗ/ΜΟΝΑΔΑ ΜΕ ΦΠΑ 24%</w:t>
            </w:r>
          </w:p>
        </w:tc>
      </w:tr>
      <w:tr w:rsidR="00924163" w:rsidRPr="00F96813" w:rsidTr="0063229C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ΜΕΤΑΦΟΡΑ ΚΑΙ ΤΑΦΗ ΑΠΟΡΩΝ/ΑΖΗΤΗΤΩΝ/ΕΓΚΑΤΑ</w:t>
            </w:r>
            <w:r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-</w:t>
            </w: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ΛΕΛΕΙΜΜΕΝΩΝ ΝΕΚΡΩΝ Στη  τιμή υπολογίστηκε το ποσό της εξόδιου ακολουθίας; 150€ και η χρέωση τάφου 360€ .Σε περίπτωση που υπάρχει ασφάλεια των αζήτητων /εγκαταλελειμμένων νεκρών θα αφαιρείται η χρέωση του τάφου.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1.160,00 €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4163" w:rsidRPr="00F96813" w:rsidTr="0063229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ΜΕΤΑΦΟΡΑ ΚΑΙ ΤΑΦΗ ΑΠΟΡΩΝ/ΑΖΗΤΗΤΩΝ ΝΕΟΓΝΩΝ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550,00 €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163" w:rsidRPr="00F96813" w:rsidRDefault="00924163" w:rsidP="0063229C">
            <w:pPr>
              <w:ind w:firstLine="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4163" w:rsidRPr="00F96813" w:rsidTr="0063229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ΜΕΤΑΦΟΡΑ ΚΑΙ ΤΑΦΗ ΝΕΚΡΩΝ ΕΜΒΡΥΩΝ ΚΑΤΩ ΤΩΝ 180 ΗΜΕΡΩΝ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180,00 €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4163" w:rsidRPr="00F96813" w:rsidTr="0063229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ΜΕΤΑΦΟΡΑ ΚΑΙ ΤΑΦΗ ΑΚΡΩΤΗΡΙΑΣΜΕΝΩΝ ΑΝΘΡΩΠΙΝΩΝ ΜΕΛΩΝ/ΙΣΤΩΝ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180,00 €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4163" w:rsidRPr="00F96813" w:rsidTr="0063229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ΜΕΤΑΦΟΡΑ ΝΕΚΡΟΥ ΑΠΟ ΤΟ ΝΟΣΟΚΟΜΕΙΟ ΠΡΟΣ ΤΟ ΝΕΚΡΟΤΟΜΕΙΟ ΚΑΙ ΑΝΤΙΣΤΡΟΦΑ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163" w:rsidRPr="00023394" w:rsidRDefault="00924163" w:rsidP="009241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023394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100,00 €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163" w:rsidRPr="00F96813" w:rsidRDefault="00924163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2137" w:rsidRPr="00F96813" w:rsidTr="0063229C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F96813" w:rsidRDefault="00492137" w:rsidP="0063229C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BF7E74" w:rsidRDefault="00492137" w:rsidP="0063229C">
            <w:pPr>
              <w:jc w:val="center"/>
              <w:rPr>
                <w:rFonts w:cs="Calibri"/>
                <w:sz w:val="20"/>
                <w:szCs w:val="20"/>
              </w:rPr>
            </w:pPr>
            <w:r w:rsidRPr="00BF7E74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F96813" w:rsidRDefault="00492137" w:rsidP="0063229C">
            <w:pPr>
              <w:jc w:val="center"/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92137" w:rsidRPr="00F96813" w:rsidRDefault="00492137" w:rsidP="0063229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92137" w:rsidRPr="00F96813" w:rsidTr="0063229C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F96813" w:rsidRDefault="00492137" w:rsidP="0063229C">
            <w:pPr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BF7E74" w:rsidRDefault="00492137" w:rsidP="0063229C">
            <w:pPr>
              <w:jc w:val="center"/>
              <w:rPr>
                <w:rFonts w:cs="Calibri"/>
                <w:sz w:val="20"/>
                <w:szCs w:val="20"/>
              </w:rPr>
            </w:pPr>
            <w:r w:rsidRPr="00BF7E74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137" w:rsidRPr="00F96813" w:rsidRDefault="00492137" w:rsidP="0063229C">
            <w:pPr>
              <w:jc w:val="center"/>
              <w:rPr>
                <w:rFonts w:cs="Calibri"/>
                <w:sz w:val="20"/>
                <w:szCs w:val="20"/>
              </w:rPr>
            </w:pPr>
            <w:r w:rsidRPr="00F9681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2137" w:rsidRPr="00F96813" w:rsidRDefault="00492137" w:rsidP="0063229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492137" w:rsidRPr="00F12FDA" w:rsidRDefault="00492137" w:rsidP="00492137">
      <w:r w:rsidRPr="00F12FDA">
        <w:rPr>
          <w:shd w:val="clear" w:color="auto" w:fill="D9D9D9"/>
        </w:rPr>
        <w:t>Προσφερόμενη τιμή ολογράφως:……………………………………………………………………</w:t>
      </w:r>
      <w:r>
        <w:rPr>
          <w:shd w:val="clear" w:color="auto" w:fill="D9D9D9"/>
        </w:rPr>
        <w:t>………………</w:t>
      </w:r>
    </w:p>
    <w:p w:rsidR="00492137" w:rsidRDefault="00492137" w:rsidP="00492137">
      <w:pPr>
        <w:pStyle w:val="1"/>
        <w:rPr>
          <w:sz w:val="24"/>
          <w:szCs w:val="24"/>
        </w:rPr>
      </w:pPr>
    </w:p>
    <w:p w:rsidR="00492137" w:rsidRPr="00F12FDA" w:rsidRDefault="00492137" w:rsidP="00492137">
      <w:pPr>
        <w:spacing w:line="360" w:lineRule="auto"/>
        <w:jc w:val="both"/>
      </w:pPr>
      <w:r w:rsidRPr="00F12FDA">
        <w:t xml:space="preserve">Ο πίνακας θα συμπληρωθεί από τους υποψήφιους αναδόχους </w:t>
      </w:r>
      <w:r w:rsidRPr="00F12FDA">
        <w:rPr>
          <w:u w:val="single"/>
        </w:rPr>
        <w:t>ΧΩΡΙΣ ΝΑ ΤΡΟΠΟΠΟΙΗΘΕΙ Η ΜΟΡΦΗ ΤΟΥ</w:t>
      </w:r>
      <w:r>
        <w:t>,</w:t>
      </w:r>
      <w:r w:rsidRPr="00F12FDA">
        <w:t xml:space="preserve"> προκειμένου οι προσφορές να λαμβάνουν υπόψη τα ίδια δεδομένα και να καταστεί εφικτή η οικονομική αξιολόγηση. </w:t>
      </w:r>
    </w:p>
    <w:p w:rsidR="00492137" w:rsidRDefault="00492137" w:rsidP="00492137">
      <w:pPr>
        <w:spacing w:line="360" w:lineRule="auto"/>
        <w:jc w:val="both"/>
      </w:pPr>
    </w:p>
    <w:p w:rsidR="00492137" w:rsidRDefault="00492137" w:rsidP="00492137">
      <w:pPr>
        <w:spacing w:line="360" w:lineRule="auto"/>
        <w:jc w:val="both"/>
      </w:pPr>
      <w:r>
        <w:lastRenderedPageBreak/>
        <w:t xml:space="preserve">Εφόσον από την προσφορά δεν προκύπτει με σαφήνεια η προσφερόμενη τιμή ή δεν δίνεται ενιαία τιμή, η προσφορά απορρίπτεται ως απαράδεκτη. </w:t>
      </w:r>
      <w:r w:rsidRPr="008A4988">
        <w:rPr>
          <w:u w:val="single"/>
        </w:rPr>
        <w:t>Οι προσφερόμενες τιμές ανά υπηρεσία δεν πρέπει να ξεπερνάνε την εκάστοτε προϋπολογιζόμενη δαπάνη</w:t>
      </w:r>
      <w:r>
        <w:t>.</w:t>
      </w:r>
    </w:p>
    <w:p w:rsidR="00492137" w:rsidRPr="00BF7E74" w:rsidRDefault="00492137" w:rsidP="00492137"/>
    <w:p w:rsidR="00492137" w:rsidRPr="008A4988" w:rsidRDefault="00492137" w:rsidP="00492137">
      <w:pPr>
        <w:spacing w:line="276" w:lineRule="auto"/>
        <w:jc w:val="both"/>
        <w:rPr>
          <w:b/>
          <w:u w:val="single"/>
        </w:rPr>
      </w:pPr>
      <w:r w:rsidRPr="00C44BA4">
        <w:rPr>
          <w:b/>
          <w:u w:val="single"/>
        </w:rPr>
        <w:t>Στις τιμές συμπεριλαμβάνονται όλες οι ενδιάμεσες υπηρεσίες ή δαπάνες, που είναι αναγκαίες και νόμιμες για την ολοκλήρωση των παρεχόμενων υπηρεσιών (μεταφοράς και ταφής).</w:t>
      </w:r>
      <w:r>
        <w:rPr>
          <w:b/>
          <w:u w:val="single"/>
        </w:rPr>
        <w:t xml:space="preserve"> Επιπλέον,</w:t>
      </w:r>
      <w:r w:rsidRPr="00C44BA4">
        <w:rPr>
          <w:b/>
          <w:u w:val="single"/>
        </w:rPr>
        <w:t xml:space="preserve"> συμπεριλαμβάνονται όλα τα διαθέσιμα νόμιμα μέσα (φέρετρα, σάκοι νεκρών εμβρύων κάτω των 180 ημερών, ειδικά οχήματα κ.λ.π) που απαιτούνται για την μεταφορά και ταφή νεκρών,</w:t>
      </w:r>
      <w:r>
        <w:rPr>
          <w:b/>
          <w:u w:val="single"/>
        </w:rPr>
        <w:t xml:space="preserve"> </w:t>
      </w:r>
      <w:r w:rsidRPr="00C44BA4">
        <w:rPr>
          <w:b/>
          <w:u w:val="single"/>
        </w:rPr>
        <w:t>ανθρωπίνων μελών και ιστών.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6849C9">
      <w:headerReference w:type="default" r:id="rId8"/>
      <w:footerReference w:type="default" r:id="rId9"/>
      <w:pgSz w:w="11906" w:h="16838"/>
      <w:pgMar w:top="680" w:right="1559" w:bottom="680" w:left="1418" w:header="0" w:footer="63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32" w:rsidRDefault="002C0032">
      <w:pPr>
        <w:spacing w:after="0" w:line="240" w:lineRule="auto"/>
      </w:pPr>
      <w:r>
        <w:separator/>
      </w:r>
    </w:p>
  </w:endnote>
  <w:endnote w:type="continuationSeparator" w:id="0">
    <w:p w:rsidR="002C0032" w:rsidRDefault="002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5254"/>
      <w:docPartObj>
        <w:docPartGallery w:val="Page Numbers (Bottom of Page)"/>
        <w:docPartUnique/>
      </w:docPartObj>
    </w:sdtPr>
    <w:sdtContent>
      <w:p w:rsidR="002C0032" w:rsidRDefault="00AD40A7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2C0032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4B451E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2C0032" w:rsidRDefault="002C00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32" w:rsidRDefault="002C0032">
      <w:pPr>
        <w:spacing w:after="0" w:line="240" w:lineRule="auto"/>
      </w:pPr>
      <w:r>
        <w:separator/>
      </w:r>
    </w:p>
  </w:footnote>
  <w:footnote w:type="continuationSeparator" w:id="0">
    <w:p w:rsidR="002C0032" w:rsidRDefault="002C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32" w:rsidRDefault="00AD40A7">
    <w:pPr>
      <w:pStyle w:val="a4"/>
      <w:ind w:left="-1418"/>
    </w:pPr>
    <w:r>
      <w:rPr>
        <w:noProof/>
      </w:rPr>
      <w:pict>
        <v:line id="Ευθεία γραμμή σύνδεσης 6" o:spid="_x0000_s2049" style="position:absolute;left:0;text-align:lef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<v:stroke joinstyle="miter"/>
        </v:line>
      </w:pict>
    </w:r>
    <w:r w:rsidR="002C0032">
      <w:rPr>
        <w:noProof/>
        <w:lang w:eastAsia="el-GR"/>
      </w:rPr>
      <w:drawing>
        <wp:inline distT="0" distB="0" distL="0" distR="0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EF4CD6"/>
    <w:multiLevelType w:val="multilevel"/>
    <w:tmpl w:val="02CE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5E54AE3"/>
    <w:multiLevelType w:val="hybridMultilevel"/>
    <w:tmpl w:val="655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D3015A6"/>
    <w:multiLevelType w:val="hybridMultilevel"/>
    <w:tmpl w:val="FE5E09A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13D7AD9"/>
    <w:multiLevelType w:val="multilevel"/>
    <w:tmpl w:val="4D0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32411D4"/>
    <w:multiLevelType w:val="hybridMultilevel"/>
    <w:tmpl w:val="330A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5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25224838"/>
    <w:multiLevelType w:val="multilevel"/>
    <w:tmpl w:val="A06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6F27CC"/>
    <w:multiLevelType w:val="multilevel"/>
    <w:tmpl w:val="EF2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A5275B"/>
    <w:multiLevelType w:val="multilevel"/>
    <w:tmpl w:val="144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B152511"/>
    <w:multiLevelType w:val="multilevel"/>
    <w:tmpl w:val="70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A6079F"/>
    <w:multiLevelType w:val="multilevel"/>
    <w:tmpl w:val="205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F757378"/>
    <w:multiLevelType w:val="multilevel"/>
    <w:tmpl w:val="22E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b w:val="0"/>
      </w:rPr>
    </w:lvl>
  </w:abstractNum>
  <w:abstractNum w:abstractNumId="24">
    <w:nsid w:val="50E818E5"/>
    <w:multiLevelType w:val="multilevel"/>
    <w:tmpl w:val="97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25">
    <w:nsid w:val="51114D55"/>
    <w:multiLevelType w:val="multilevel"/>
    <w:tmpl w:val="070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5B441503"/>
    <w:multiLevelType w:val="hybridMultilevel"/>
    <w:tmpl w:val="9C48E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44828"/>
    <w:multiLevelType w:val="multilevel"/>
    <w:tmpl w:val="F83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650C3E50"/>
    <w:multiLevelType w:val="multilevel"/>
    <w:tmpl w:val="85A4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6D07F3F"/>
    <w:multiLevelType w:val="multilevel"/>
    <w:tmpl w:val="EA02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3020BA"/>
    <w:multiLevelType w:val="multilevel"/>
    <w:tmpl w:val="7BFE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BB23E7"/>
    <w:multiLevelType w:val="multilevel"/>
    <w:tmpl w:val="3BDE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6"/>
  </w:num>
  <w:num w:numId="3">
    <w:abstractNumId w:val="28"/>
  </w:num>
  <w:num w:numId="4">
    <w:abstractNumId w:val="15"/>
  </w:num>
  <w:num w:numId="5">
    <w:abstractNumId w:val="11"/>
  </w:num>
  <w:num w:numId="6">
    <w:abstractNumId w:val="18"/>
  </w:num>
  <w:num w:numId="7">
    <w:abstractNumId w:val="9"/>
  </w:num>
  <w:num w:numId="8">
    <w:abstractNumId w:val="31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26"/>
  </w:num>
  <w:num w:numId="20">
    <w:abstractNumId w:val="27"/>
  </w:num>
  <w:num w:numId="21">
    <w:abstractNumId w:val="24"/>
  </w:num>
  <w:num w:numId="22">
    <w:abstractNumId w:val="21"/>
  </w:num>
  <w:num w:numId="23">
    <w:abstractNumId w:val="22"/>
  </w:num>
  <w:num w:numId="24">
    <w:abstractNumId w:val="16"/>
  </w:num>
  <w:num w:numId="25">
    <w:abstractNumId w:val="20"/>
  </w:num>
  <w:num w:numId="26">
    <w:abstractNumId w:val="5"/>
  </w:num>
  <w:num w:numId="27">
    <w:abstractNumId w:val="10"/>
  </w:num>
  <w:num w:numId="28">
    <w:abstractNumId w:val="13"/>
  </w:num>
  <w:num w:numId="29">
    <w:abstractNumId w:val="23"/>
  </w:num>
  <w:num w:numId="30">
    <w:abstractNumId w:val="30"/>
  </w:num>
  <w:num w:numId="31">
    <w:abstractNumId w:val="25"/>
  </w:num>
  <w:num w:numId="32">
    <w:abstractNumId w:val="29"/>
  </w:num>
  <w:num w:numId="33">
    <w:abstractNumId w:val="33"/>
  </w:num>
  <w:num w:numId="34">
    <w:abstractNumId w:val="3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6EF"/>
    <w:rsid w:val="00031DAB"/>
    <w:rsid w:val="0007788A"/>
    <w:rsid w:val="000D3E27"/>
    <w:rsid w:val="000F0B65"/>
    <w:rsid w:val="00183D08"/>
    <w:rsid w:val="00196EE7"/>
    <w:rsid w:val="001A3DB5"/>
    <w:rsid w:val="001A479E"/>
    <w:rsid w:val="001D490D"/>
    <w:rsid w:val="001E67A2"/>
    <w:rsid w:val="002423B6"/>
    <w:rsid w:val="002439B3"/>
    <w:rsid w:val="002958C3"/>
    <w:rsid w:val="002A1BE1"/>
    <w:rsid w:val="002C0032"/>
    <w:rsid w:val="002C5260"/>
    <w:rsid w:val="003642B9"/>
    <w:rsid w:val="00376235"/>
    <w:rsid w:val="003840EF"/>
    <w:rsid w:val="003870C4"/>
    <w:rsid w:val="003D61D7"/>
    <w:rsid w:val="004660FF"/>
    <w:rsid w:val="00492137"/>
    <w:rsid w:val="004952C5"/>
    <w:rsid w:val="004B451E"/>
    <w:rsid w:val="00520456"/>
    <w:rsid w:val="00560EF5"/>
    <w:rsid w:val="00567B44"/>
    <w:rsid w:val="005876B8"/>
    <w:rsid w:val="005B4548"/>
    <w:rsid w:val="005F3B0D"/>
    <w:rsid w:val="00626486"/>
    <w:rsid w:val="0063229C"/>
    <w:rsid w:val="00635AEC"/>
    <w:rsid w:val="0065631D"/>
    <w:rsid w:val="006849C9"/>
    <w:rsid w:val="006A59F1"/>
    <w:rsid w:val="007401BC"/>
    <w:rsid w:val="00740987"/>
    <w:rsid w:val="00757A34"/>
    <w:rsid w:val="007706EF"/>
    <w:rsid w:val="00782623"/>
    <w:rsid w:val="007D7C72"/>
    <w:rsid w:val="007E2D5A"/>
    <w:rsid w:val="007E3AD2"/>
    <w:rsid w:val="0086781D"/>
    <w:rsid w:val="00867CE0"/>
    <w:rsid w:val="00884DCC"/>
    <w:rsid w:val="00893D74"/>
    <w:rsid w:val="00924163"/>
    <w:rsid w:val="00930411"/>
    <w:rsid w:val="009C3DC6"/>
    <w:rsid w:val="009D7321"/>
    <w:rsid w:val="00A41D77"/>
    <w:rsid w:val="00A41E77"/>
    <w:rsid w:val="00A5799D"/>
    <w:rsid w:val="00A61EDC"/>
    <w:rsid w:val="00AC26F2"/>
    <w:rsid w:val="00AD40A7"/>
    <w:rsid w:val="00AD62B8"/>
    <w:rsid w:val="00B01FA3"/>
    <w:rsid w:val="00B3427E"/>
    <w:rsid w:val="00B763FE"/>
    <w:rsid w:val="00BD4EC8"/>
    <w:rsid w:val="00C0202F"/>
    <w:rsid w:val="00C6239F"/>
    <w:rsid w:val="00CA6CEB"/>
    <w:rsid w:val="00CC78A7"/>
    <w:rsid w:val="00CE00D5"/>
    <w:rsid w:val="00D776F9"/>
    <w:rsid w:val="00DF2ED2"/>
    <w:rsid w:val="00DF5F99"/>
    <w:rsid w:val="00E4578B"/>
    <w:rsid w:val="00E57A84"/>
    <w:rsid w:val="00E62E62"/>
    <w:rsid w:val="00EB7539"/>
    <w:rsid w:val="00ED1462"/>
    <w:rsid w:val="00ED339E"/>
    <w:rsid w:val="00F012BC"/>
    <w:rsid w:val="00F65D30"/>
    <w:rsid w:val="00F71945"/>
    <w:rsid w:val="00F81768"/>
    <w:rsid w:val="00F96924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B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9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0"/>
    <w:qFormat/>
    <w:rsid w:val="00031DAB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sid w:val="00031DAB"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sid w:val="00031DAB"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7"/>
    <w:qFormat/>
    <w:rsid w:val="00031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31DAB"/>
    <w:pPr>
      <w:spacing w:after="140" w:line="276" w:lineRule="auto"/>
    </w:pPr>
  </w:style>
  <w:style w:type="paragraph" w:styleId="a8">
    <w:name w:val="List"/>
    <w:basedOn w:val="a7"/>
    <w:rsid w:val="00031DAB"/>
    <w:rPr>
      <w:rFonts w:cs="Arial"/>
    </w:rPr>
  </w:style>
  <w:style w:type="paragraph" w:styleId="a9">
    <w:name w:val="caption"/>
    <w:basedOn w:val="a"/>
    <w:qFormat/>
    <w:rsid w:val="00031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031DAB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031DAB"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d">
    <w:name w:val="List Paragraph"/>
    <w:basedOn w:val="a"/>
    <w:qFormat/>
    <w:rsid w:val="00B9680C"/>
    <w:pPr>
      <w:ind w:left="720"/>
      <w:contextualSpacing/>
    </w:pPr>
  </w:style>
  <w:style w:type="paragraph" w:customStyle="1" w:styleId="ae">
    <w:name w:val="Περιεχόμενα πλαισίου"/>
    <w:basedOn w:val="a"/>
    <w:qFormat/>
    <w:rsid w:val="00031DAB"/>
  </w:style>
  <w:style w:type="paragraph" w:customStyle="1" w:styleId="11">
    <w:name w:val="Κανονικός πίνακας1"/>
    <w:qFormat/>
    <w:rsid w:val="00031DAB"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rsid w:val="00031DAB"/>
    <w:pPr>
      <w:ind w:hanging="57"/>
      <w:jc w:val="both"/>
    </w:pPr>
    <w:rPr>
      <w:rFonts w:ascii="Tahoma" w:hAnsi="Tahoma" w:cs="Tahoma"/>
      <w:b/>
      <w:bCs/>
    </w:rPr>
  </w:style>
  <w:style w:type="paragraph" w:customStyle="1" w:styleId="20">
    <w:name w:val="Παράγραφος λίστας2"/>
    <w:basedOn w:val="a"/>
    <w:qFormat/>
    <w:rsid w:val="00031DAB"/>
    <w:pPr>
      <w:ind w:left="720"/>
      <w:contextualSpacing/>
    </w:pPr>
  </w:style>
  <w:style w:type="table" w:styleId="af">
    <w:name w:val="Table Grid"/>
    <w:basedOn w:val="a2"/>
    <w:uiPriority w:val="39"/>
    <w:rsid w:val="006F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1"/>
    <w:link w:val="1"/>
    <w:uiPriority w:val="9"/>
    <w:rsid w:val="004921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Intense Emphasis"/>
    <w:qFormat/>
    <w:rsid w:val="00492137"/>
    <w:rPr>
      <w:b/>
      <w:bCs/>
    </w:rPr>
  </w:style>
  <w:style w:type="paragraph" w:customStyle="1" w:styleId="af2">
    <w:name w:val="Περιεχόμενα πίνακα"/>
    <w:basedOn w:val="a"/>
    <w:qFormat/>
    <w:rsid w:val="0049213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2Char">
    <w:name w:val="Επικεφαλίδα 2 Char"/>
    <w:basedOn w:val="a1"/>
    <w:link w:val="2"/>
    <w:uiPriority w:val="9"/>
    <w:semiHidden/>
    <w:rsid w:val="00F719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74B5-8FE2-4203-BF45-C6ACDBE7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ΠΑΡΑΡΤΗΜΑ ΙΙ - ΠΙΝΑΚΑΣ ΣΥΜΜΟΡΦΩΣΗΣ</vt:lpstr>
      <vt:lpstr>ΠΑΡΑΡΤΗΜΑ IΙΙ – ΠΙΝΑΚΑΣ ΟΙΚΟΝΟΜΙΚΗΣ ΠΡΟΣΦΟΡΑΣ</vt:lpstr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2023-05-09T07:56:00Z</cp:lastPrinted>
  <dcterms:created xsi:type="dcterms:W3CDTF">2023-05-10T07:02:00Z</dcterms:created>
  <dcterms:modified xsi:type="dcterms:W3CDTF">2023-05-10T07:02:00Z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