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64" w:rsidRPr="00BD65F6" w:rsidRDefault="00C21B64" w:rsidP="00C21B6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116977688"/>
      <w:r>
        <w:rPr>
          <w:lang w:val="el-GR"/>
        </w:rPr>
        <w:t>ΠΑΡΑΡΤΗΜΑ ΙΙ – ΦΥΛΛΟ ΣΥΜΜΟΡΦΩΣΗΣ</w:t>
      </w:r>
      <w:bookmarkEnd w:id="0"/>
      <w:r>
        <w:rPr>
          <w:lang w:val="el-GR"/>
        </w:rPr>
        <w:t xml:space="preserve"> </w:t>
      </w:r>
    </w:p>
    <w:p w:rsidR="00C21B64" w:rsidRPr="00537981" w:rsidRDefault="00C21B64" w:rsidP="00C21B64">
      <w:pPr>
        <w:pStyle w:val="normalwithoutspacing"/>
        <w:spacing w:after="0"/>
        <w:jc w:val="center"/>
        <w:rPr>
          <w:b/>
          <w:bCs/>
          <w:iCs/>
          <w:sz w:val="24"/>
        </w:rPr>
      </w:pPr>
    </w:p>
    <w:tbl>
      <w:tblPr>
        <w:tblW w:w="10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802"/>
        <w:gridCol w:w="1170"/>
        <w:gridCol w:w="1433"/>
        <w:gridCol w:w="1499"/>
      </w:tblGrid>
      <w:tr w:rsidR="00C21B64" w:rsidRPr="006B497A" w:rsidTr="00074086">
        <w:tc>
          <w:tcPr>
            <w:tcW w:w="578" w:type="dxa"/>
            <w:shd w:val="clear" w:color="auto" w:fill="auto"/>
            <w:vAlign w:val="center"/>
          </w:tcPr>
          <w:p w:rsidR="00C21B64" w:rsidRPr="00513FFF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513FFF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ΤΕΧΝΙΚΕΣ ΠΡΟΔΙΑΓΡΑΦΕΣ</w:t>
            </w:r>
            <w:r w:rsidR="006B497A">
              <w:rPr>
                <w:b/>
                <w:bCs/>
                <w:szCs w:val="22"/>
                <w:lang w:val="el-GR" w:eastAsia="el-GR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513FFF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513FFF" w:rsidRDefault="00C21B64" w:rsidP="0007408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ΑΠΑΝΤΗΣΗ</w:t>
            </w:r>
          </w:p>
          <w:p w:rsidR="00C21B64" w:rsidRPr="00513FFF" w:rsidRDefault="00C21B64" w:rsidP="0007408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ΥΠΟΨΗΦΙΟΥ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513FFF" w:rsidRDefault="00C21B64" w:rsidP="0007408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ΠΑΡΑΠΟΜΠΗ</w:t>
            </w:r>
          </w:p>
          <w:p w:rsidR="00C21B64" w:rsidRPr="00513FFF" w:rsidRDefault="00C21B64" w:rsidP="0007408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ΣΕ ΤΕΧΝΙΚΑ</w:t>
            </w:r>
          </w:p>
          <w:p w:rsidR="00C21B64" w:rsidRPr="00513FFF" w:rsidRDefault="00C21B64" w:rsidP="00074086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ΕΓΧΕΙΡΙΔΙΑ Ή</w:t>
            </w:r>
          </w:p>
          <w:p w:rsidR="00C21B64" w:rsidRPr="00513FFF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513FFF">
              <w:rPr>
                <w:b/>
                <w:bCs/>
                <w:szCs w:val="22"/>
                <w:lang w:val="el-GR" w:eastAsia="el-GR"/>
              </w:rPr>
              <w:t>PROSPECTUS</w:t>
            </w:r>
          </w:p>
        </w:tc>
      </w:tr>
      <w:tr w:rsidR="00C21B64" w:rsidRPr="006B497A" w:rsidTr="00074086">
        <w:trPr>
          <w:trHeight w:val="371"/>
        </w:trPr>
        <w:tc>
          <w:tcPr>
            <w:tcW w:w="10482" w:type="dxa"/>
            <w:gridSpan w:val="5"/>
            <w:shd w:val="clear" w:color="auto" w:fill="auto"/>
            <w:vAlign w:val="center"/>
          </w:tcPr>
          <w:p w:rsidR="00C21B64" w:rsidRPr="00597A94" w:rsidRDefault="00C21B64" w:rsidP="00074086">
            <w:pPr>
              <w:pStyle w:val="10"/>
              <w:tabs>
                <w:tab w:val="left" w:pos="807"/>
                <w:tab w:val="left" w:pos="808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597A94">
              <w:rPr>
                <w:rFonts w:asciiTheme="minorHAnsi" w:hAnsiTheme="minorHAnsi" w:cstheme="minorHAnsi"/>
                <w:b/>
                <w:bCs/>
                <w:lang w:val="el-GR"/>
              </w:rPr>
              <w:t>ΠΡΟΔΙΑΓΡΑΦΕΣ ΑΝΑΛΥΤΗ ΑΝΟΣΟΛΟΓΙΚΩΝ ΕΞΕΤΑΣΕΩΝ ΓΙΑ ΑΛΛΕΡΓΙΟΓΟΝΑ</w:t>
            </w:r>
          </w:p>
        </w:tc>
      </w:tr>
      <w:tr w:rsidR="00C21B64" w:rsidRPr="00883399" w:rsidTr="00074086">
        <w:trPr>
          <w:trHeight w:val="435"/>
        </w:trPr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είναι σχεδιασμένο για χρήση σε όλα τα εργαστήρια κλινικών και διαγνωστικών αναλύσεων, μεσαίου φόρτου εργασίας ανά ημέρα (500 αναλύσεις κατά μέσο όρο ανά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εβδομάδα)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έχει ευέλικτη επιτραπέζια τοποθέτηση, καταλαμβάνοντας μόλις </w:t>
            </w:r>
            <w:smartTag w:uri="urn:schemas-microsoft-com:office:smarttags" w:element="metricconverter">
              <w:smartTagPr>
                <w:attr w:name="ProductID" w:val="0,5 m2"/>
              </w:smartTagPr>
              <w:r w:rsidRPr="00883399">
                <w:rPr>
                  <w:rFonts w:asciiTheme="minorHAnsi" w:hAnsiTheme="minorHAnsi" w:cstheme="minorHAnsi"/>
                  <w:szCs w:val="22"/>
                  <w:lang w:val="el-GR"/>
                </w:rPr>
                <w:t xml:space="preserve">0,5 </w:t>
              </w:r>
              <w:r w:rsidRPr="00883399">
                <w:rPr>
                  <w:rFonts w:asciiTheme="minorHAnsi" w:hAnsiTheme="minorHAnsi" w:cstheme="minorHAnsi"/>
                  <w:szCs w:val="22"/>
                </w:rPr>
                <w:t>m</w:t>
              </w:r>
              <w:r w:rsidRPr="00883399">
                <w:rPr>
                  <w:rFonts w:asciiTheme="minorHAnsi" w:hAnsiTheme="minorHAnsi" w:cstheme="minorHAnsi"/>
                  <w:szCs w:val="22"/>
                  <w:vertAlign w:val="superscript"/>
                  <w:lang w:val="el-GR"/>
                </w:rPr>
                <w:t>2</w:t>
              </w:r>
            </w:smartTag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του εργαστηριακού</w:t>
            </w:r>
            <w:r w:rsidRPr="00883399">
              <w:rPr>
                <w:rFonts w:asciiTheme="minorHAnsi" w:hAnsiTheme="minorHAnsi" w:cstheme="minorHAnsi"/>
                <w:spacing w:val="-2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πάγκου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3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είναι 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φιλική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προς</w:t>
            </w:r>
            <w:r w:rsidRPr="00883399">
              <w:rPr>
                <w:rFonts w:asciiTheme="minorHAnsi" w:hAnsiTheme="minorHAnsi" w:cstheme="minorHAnsi"/>
                <w:spacing w:val="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τους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χρήστες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κατασκευή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βάρους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μέχρι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883399">
                <w:rPr>
                  <w:rFonts w:asciiTheme="minorHAnsi" w:hAnsiTheme="minorHAnsi" w:cstheme="minorHAnsi"/>
                  <w:szCs w:val="22"/>
                  <w:lang w:val="el-GR"/>
                </w:rPr>
                <w:t>50</w:t>
              </w:r>
              <w:r w:rsidRPr="00883399">
                <w:rPr>
                  <w:rFonts w:asciiTheme="minorHAnsi" w:hAnsiTheme="minorHAnsi" w:cstheme="minorHAnsi"/>
                  <w:spacing w:val="15"/>
                  <w:szCs w:val="22"/>
                  <w:lang w:val="el-GR"/>
                </w:rPr>
                <w:t xml:space="preserve"> </w:t>
              </w:r>
              <w:r w:rsidRPr="00883399">
                <w:rPr>
                  <w:rFonts w:asciiTheme="minorHAnsi" w:hAnsiTheme="minorHAnsi" w:cstheme="minorHAnsi"/>
                  <w:szCs w:val="22"/>
                </w:rPr>
                <w:t>Kg</w:t>
              </w:r>
            </w:smartTag>
            <w:r w:rsidRPr="00883399">
              <w:rPr>
                <w:rFonts w:asciiTheme="minorHAnsi" w:hAnsiTheme="minorHAnsi" w:cstheme="minorHAnsi"/>
                <w:spacing w:val="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και</w:t>
            </w:r>
            <w:r w:rsidRPr="00883399">
              <w:rPr>
                <w:rFonts w:asciiTheme="minorHAnsi" w:hAnsiTheme="minorHAnsi" w:cstheme="minorHAnsi"/>
                <w:spacing w:val="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διαστάσεων</w:t>
            </w:r>
            <w:r w:rsidRPr="00883399">
              <w:rPr>
                <w:rFonts w:asciiTheme="minorHAnsi" w:hAnsiTheme="minorHAnsi" w:cstheme="minorHAnsi"/>
                <w:spacing w:val="12"/>
                <w:szCs w:val="22"/>
                <w:lang w:val="el-GR"/>
              </w:rPr>
              <w:t xml:space="preserve"> μέχρι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60</w:t>
            </w:r>
            <w:r w:rsidRPr="00883399">
              <w:rPr>
                <w:rFonts w:asciiTheme="minorHAnsi" w:hAnsiTheme="minorHAnsi" w:cstheme="minorHAnsi"/>
                <w:spacing w:val="1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x</w:t>
            </w:r>
            <w:r w:rsidRPr="00883399">
              <w:rPr>
                <w:rFonts w:asciiTheme="minorHAnsi" w:hAnsiTheme="minorHAnsi" w:cstheme="minorHAnsi"/>
                <w:spacing w:val="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100</w:t>
            </w:r>
            <w:r w:rsidRPr="00883399">
              <w:rPr>
                <w:rFonts w:asciiTheme="minorHAnsi" w:hAnsiTheme="minorHAnsi" w:cstheme="minorHAnsi"/>
                <w:spacing w:val="12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x</w:t>
            </w:r>
            <w:r w:rsidRPr="00883399">
              <w:rPr>
                <w:rFonts w:asciiTheme="minorHAnsi" w:hAnsiTheme="minorHAnsi" w:cstheme="minorHAnsi"/>
                <w:spacing w:val="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50 </w:t>
            </w:r>
            <w:r w:rsidRPr="00883399">
              <w:rPr>
                <w:rFonts w:asciiTheme="minorHAnsi" w:hAnsiTheme="minorHAnsi" w:cstheme="minorHAnsi"/>
                <w:szCs w:val="22"/>
              </w:rPr>
              <w:t>cm</w:t>
            </w:r>
            <w:r w:rsidRPr="00883399">
              <w:rPr>
                <w:rFonts w:asciiTheme="minorHAnsi" w:hAnsiTheme="minorHAnsi" w:cstheme="minorHAnsi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77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4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διαθέτει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εφαρμογή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της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μεθόδου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ανοσο-ενζυμικού</w:t>
            </w:r>
            <w:proofErr w:type="spellEnd"/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φθορισμού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τύπου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sandwich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(</w:t>
            </w:r>
            <w:r w:rsidRPr="00883399">
              <w:rPr>
                <w:rFonts w:asciiTheme="minorHAnsi" w:hAnsiTheme="minorHAnsi" w:cstheme="minorHAnsi"/>
                <w:szCs w:val="22"/>
              </w:rPr>
              <w:t>FEIA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για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τη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διάγνωση αλλεργιών με τη χρήση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αντιγονικών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πρωτεϊνών (φυσικών ή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ανασυνδυασμένων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) προσροφημένων σε στερεή φάση για αυξημένη ευαισθησία και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ειδικότητα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5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18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</w:t>
            </w:r>
            <w:r w:rsidRPr="00883399">
              <w:rPr>
                <w:rFonts w:asciiTheme="minorHAnsi" w:hAnsiTheme="minorHAnsi" w:cstheme="minorHAnsi"/>
                <w:spacing w:val="-9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υπάρχουν</w:t>
            </w:r>
            <w:r w:rsidRPr="00883399">
              <w:rPr>
                <w:rFonts w:asciiTheme="minorHAnsi" w:hAnsiTheme="minorHAnsi" w:cstheme="minorHAnsi"/>
                <w:spacing w:val="-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διαθέσιμα τουλάχιστον 550 αλλεργιογόνα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6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α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αποτελέσματα να εκφράζονται ποσοτικά σε μονάδες πρωτεΐνης ανά </w:t>
            </w:r>
            <w:r w:rsidRPr="00883399">
              <w:rPr>
                <w:rFonts w:asciiTheme="minorHAnsi" w:hAnsiTheme="minorHAnsi" w:cstheme="minorHAnsi"/>
                <w:szCs w:val="22"/>
              </w:rPr>
              <w:t>ml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(</w:t>
            </w:r>
            <w:r w:rsidRPr="00883399">
              <w:rPr>
                <w:rFonts w:asciiTheme="minorHAnsi" w:hAnsiTheme="minorHAnsi" w:cstheme="minorHAnsi"/>
                <w:szCs w:val="22"/>
              </w:rPr>
              <w:t>IU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Pr="00883399">
              <w:rPr>
                <w:rFonts w:asciiTheme="minorHAnsi" w:hAnsiTheme="minorHAnsi" w:cstheme="minorHAnsi"/>
                <w:szCs w:val="22"/>
              </w:rPr>
              <w:t>ml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, σύμφωνα με τις μονάδες του</w:t>
            </w:r>
            <w:r w:rsidRPr="00883399">
              <w:rPr>
                <w:rFonts w:asciiTheme="minorHAnsi" w:hAnsiTheme="minorHAnsi" w:cstheme="minorHAnsi"/>
                <w:spacing w:val="-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Παγκόσμιου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Οργανισμού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Υγείας)</w:t>
            </w:r>
            <w:r w:rsidRPr="00883399">
              <w:rPr>
                <w:rFonts w:asciiTheme="minorHAnsi" w:hAnsiTheme="minorHAnsi" w:cstheme="minorHAnsi"/>
                <w:spacing w:val="-9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και</w:t>
            </w:r>
            <w:r w:rsidRPr="00883399">
              <w:rPr>
                <w:rFonts w:asciiTheme="minorHAnsi" w:hAnsiTheme="minorHAnsi" w:cstheme="minorHAnsi"/>
                <w:spacing w:val="-9"/>
                <w:szCs w:val="22"/>
                <w:lang w:val="el-GR"/>
              </w:rPr>
              <w:t xml:space="preserve">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ημιποσοτικά</w:t>
            </w:r>
            <w:proofErr w:type="spellEnd"/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σε</w:t>
            </w:r>
            <w:r w:rsidRPr="00883399">
              <w:rPr>
                <w:rFonts w:asciiTheme="minorHAnsi" w:hAnsiTheme="minorHAnsi" w:cstheme="minorHAnsi"/>
                <w:spacing w:val="-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κατηγορίες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(τάξεις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0-6)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7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δύναται να πραγματοποιήσει τις κάτωθι αναλύσεις</w:t>
            </w:r>
            <w:r w:rsidRPr="00883399">
              <w:rPr>
                <w:rFonts w:asciiTheme="minorHAnsi" w:hAnsiTheme="minorHAnsi" w:cstheme="minorHAnsi"/>
                <w:spacing w:val="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αλλεργιών: </w:t>
            </w:r>
            <w:r w:rsidRPr="00883399">
              <w:rPr>
                <w:rFonts w:asciiTheme="minorHAnsi" w:hAnsiTheme="minorHAnsi" w:cstheme="minorHAnsi"/>
                <w:szCs w:val="22"/>
              </w:rPr>
              <w:t>Specific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</w:rPr>
              <w:t>IgE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r w:rsidRPr="00883399">
              <w:rPr>
                <w:rFonts w:asciiTheme="minorHAnsi" w:hAnsiTheme="minorHAnsi" w:cstheme="minorHAnsi"/>
                <w:szCs w:val="22"/>
                <w:lang w:val="en-US"/>
              </w:rPr>
              <w:t>Total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n-US"/>
              </w:rPr>
              <w:t>IgE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n-US"/>
              </w:rPr>
              <w:t>ECP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r w:rsidRPr="00883399">
              <w:rPr>
                <w:rFonts w:asciiTheme="minorHAnsi" w:hAnsiTheme="minorHAnsi" w:cstheme="minorHAnsi"/>
                <w:szCs w:val="22"/>
                <w:lang w:val="en-US"/>
              </w:rPr>
              <w:t>Tryptase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r w:rsidRPr="00883399">
              <w:rPr>
                <w:rFonts w:asciiTheme="minorHAnsi" w:hAnsiTheme="minorHAnsi" w:cstheme="minorHAnsi"/>
                <w:szCs w:val="22"/>
                <w:lang w:val="en-US"/>
              </w:rPr>
              <w:t>Specific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n-US"/>
              </w:rPr>
              <w:t>IgG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8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Οι εξετάσεις να παρέχουν τη μέγιστη δυνατή ακρίβεια, αξιοπιστία και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επαναληψιμότητα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, και να πιστοποιούνται με αντίστοιχες εργασίες ή συγκριτικές μελέτες με μεθόδους αναφοράς (</w:t>
            </w:r>
            <w:r w:rsidRPr="00883399">
              <w:rPr>
                <w:rFonts w:asciiTheme="minorHAnsi" w:hAnsiTheme="minorHAnsi" w:cstheme="minorHAnsi"/>
                <w:szCs w:val="22"/>
              </w:rPr>
              <w:t>gold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standard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method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για την εκτίμηση της </w:t>
            </w:r>
            <w:r w:rsidRPr="00883399">
              <w:rPr>
                <w:rFonts w:asciiTheme="minorHAnsi" w:hAnsiTheme="minorHAnsi" w:cstheme="minorHAnsi"/>
                <w:szCs w:val="22"/>
              </w:rPr>
              <w:t>Specific</w:t>
            </w:r>
            <w:r w:rsidRPr="00883399">
              <w:rPr>
                <w:rFonts w:asciiTheme="minorHAnsi" w:hAnsiTheme="minorHAnsi" w:cstheme="minorHAnsi"/>
                <w:spacing w:val="1"/>
                <w:szCs w:val="22"/>
                <w:lang w:val="el-GR"/>
              </w:rPr>
              <w:t xml:space="preserve">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</w:rPr>
              <w:t>IgE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9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</w:rPr>
              <w:t>A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υτόματη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ανάλυση αλλεργιών με τη δυνατότητα χρήσης τεσσάρων μεθόδων παράλληλα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χρησιμοποιεί όγκο δείγματος έως 40μ</w:t>
            </w:r>
            <w:r w:rsidRPr="00883399">
              <w:rPr>
                <w:rFonts w:asciiTheme="minorHAnsi" w:hAnsiTheme="minorHAnsi" w:cstheme="minorHAnsi"/>
                <w:szCs w:val="22"/>
              </w:rPr>
              <w:t>l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για τη διάγνωση ευαισθησίας σε αλλεργιογόνα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πραγματοποιείται ο</w:t>
            </w:r>
            <w:r w:rsidRPr="00883399">
              <w:rPr>
                <w:rFonts w:asciiTheme="minorHAnsi" w:hAnsiTheme="minorHAnsi" w:cstheme="minorHAnsi"/>
                <w:szCs w:val="22"/>
              </w:rPr>
              <w:t>n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-</w:t>
            </w:r>
            <w:r w:rsidRPr="00883399">
              <w:rPr>
                <w:rFonts w:asciiTheme="minorHAnsi" w:hAnsiTheme="minorHAnsi" w:cstheme="minorHAnsi"/>
                <w:szCs w:val="22"/>
              </w:rPr>
              <w:t>board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αραίωση δειγμάτων και αυτόματη ανίχνευση και λήψη δειγμάτων- αντιδραστηρίων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12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έχει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τη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δυνατότητα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χρήσης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έως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και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42</w:t>
            </w:r>
            <w:r w:rsidRPr="00883399">
              <w:rPr>
                <w:rFonts w:asciiTheme="minorHAnsi" w:hAnsiTheme="minorHAnsi" w:cstheme="minorHAnsi"/>
                <w:spacing w:val="-2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δειγμάτων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και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παροχή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96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αποτελεσμάτων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εντός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3-4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ωρών, κατά τη διάγνωση ευαισθησίας σε αλλεργιογόνα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13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Ο αναλυτής να παρέχει τη δυνατότητα </w:t>
            </w:r>
            <w:r w:rsidRPr="00883399">
              <w:rPr>
                <w:rFonts w:asciiTheme="minorHAnsi" w:hAnsiTheme="minorHAnsi" w:cstheme="minorHAnsi"/>
                <w:szCs w:val="22"/>
              </w:rPr>
              <w:t>reflexing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testing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σύμφωνα με το </w:t>
            </w:r>
            <w:r w:rsidRPr="00883399">
              <w:rPr>
                <w:rFonts w:asciiTheme="minorHAnsi" w:hAnsiTheme="minorHAnsi" w:cstheme="minorHAnsi"/>
                <w:szCs w:val="22"/>
              </w:rPr>
              <w:t>panel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των </w:t>
            </w:r>
            <w:r w:rsidRPr="00883399">
              <w:rPr>
                <w:rFonts w:asciiTheme="minorHAnsi" w:hAnsiTheme="minorHAnsi" w:cstheme="minorHAnsi"/>
                <w:szCs w:val="22"/>
              </w:rPr>
              <w:t>tests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που έχει ορίσει ο χειριστής, καθώς και δυνατότητα ορισμού συγκεκριμένου δείγματος σαν προτεραιότητα ώστε να χρησιμοποιηθεί πρώτο για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ανάλυση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14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χρησιμοποιούνται καμπύλες αναφοράς ειδικών για την κάθε μέθοδο με μέγιστο χρόνο αποθήκευσης 28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ημέρες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και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πραγματοποιείται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ενσωμάτωση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των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πρότυπων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καμπύλης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σε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κάθε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run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για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τον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έλεγχο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της αποθηκευμένης</w:t>
            </w:r>
            <w:r w:rsidRPr="00883399">
              <w:rPr>
                <w:rFonts w:asciiTheme="minorHAnsi" w:hAnsiTheme="minorHAnsi" w:cstheme="minorHAnsi"/>
                <w:spacing w:val="-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καμπύλης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15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χρησιμοποιούνται καμπύλες αναφοράς ειδικών για την κάθε μέθοδο με μέγιστο χρόνο αποθήκευσης 28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ημέρες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και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να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πραγματοποιείται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ενσωμάτωση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των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πρότυπων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καμπύλης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σε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κάθε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run</w:t>
            </w:r>
            <w:r w:rsidRPr="00883399">
              <w:rPr>
                <w:rFonts w:asciiTheme="minorHAnsi" w:hAnsiTheme="minorHAnsi" w:cstheme="minorHAnsi"/>
                <w:spacing w:val="-5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για</w:t>
            </w:r>
            <w:r w:rsidRPr="00883399">
              <w:rPr>
                <w:rFonts w:asciiTheme="minorHAnsi" w:hAnsiTheme="minorHAnsi" w:cstheme="minorHAnsi"/>
                <w:spacing w:val="-6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τον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έλεγχο</w:t>
            </w:r>
            <w:r w:rsidRPr="00883399">
              <w:rPr>
                <w:rFonts w:asciiTheme="minorHAnsi" w:hAnsiTheme="minorHAnsi" w:cstheme="minorHAnsi"/>
                <w:spacing w:val="-8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της αποθηκευμένης</w:t>
            </w:r>
            <w:r w:rsidRPr="00883399">
              <w:rPr>
                <w:rFonts w:asciiTheme="minorHAnsi" w:hAnsiTheme="minorHAnsi" w:cstheme="minorHAnsi"/>
                <w:spacing w:val="-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καμπύλης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lastRenderedPageBreak/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16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ελαχιστοποιείται ο χρόνος προετοιμασίας (10΄-15΄) με ταυτόχρονη μεγιστοποίηση του αυτόματου χειρισμού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17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είναι </w:t>
            </w:r>
            <w:proofErr w:type="spellStart"/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κατάλληλ</w:t>
            </w:r>
            <w:proofErr w:type="spellEnd"/>
            <w:r w:rsidRPr="00883399">
              <w:rPr>
                <w:rFonts w:asciiTheme="minorHAnsi" w:hAnsiTheme="minorHAnsi" w:cstheme="minorHAnsi"/>
                <w:szCs w:val="22"/>
              </w:rPr>
              <w:t>o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ς για λειτουργία σε θερμοκρασίες περιβάλλοντος από +18 -</w:t>
            </w:r>
            <w:r w:rsidRPr="00883399">
              <w:rPr>
                <w:rFonts w:asciiTheme="minorHAnsi" w:hAnsiTheme="minorHAnsi" w:cstheme="minorHAnsi"/>
                <w:spacing w:val="-10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+</w:t>
            </w:r>
            <w:smartTag w:uri="urn:schemas-microsoft-com:office:smarttags" w:element="metricconverter">
              <w:smartTagPr>
                <w:attr w:name="ProductID" w:val="29ﾰC"/>
              </w:smartTagPr>
              <w:r w:rsidRPr="00883399">
                <w:rPr>
                  <w:rFonts w:asciiTheme="minorHAnsi" w:hAnsiTheme="minorHAnsi" w:cstheme="minorHAnsi"/>
                  <w:szCs w:val="22"/>
                  <w:lang w:val="el-GR"/>
                </w:rPr>
                <w:t>29°</w:t>
              </w:r>
              <w:r w:rsidRPr="00883399">
                <w:rPr>
                  <w:rFonts w:asciiTheme="minorHAnsi" w:hAnsiTheme="minorHAnsi" w:cstheme="minorHAnsi"/>
                  <w:szCs w:val="22"/>
                </w:rPr>
                <w:t>C</w:t>
              </w:r>
            </w:smartTag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18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υπάρχει δυνατότητα εφαρμογής καθημερινής, εβδομαδιαίας και μηνιαίας συντήρησης για την καλύτερη δυνατή λειτουργία του αναλυτή και την μέγιστη αξιοπιστία των</w:t>
            </w:r>
            <w:r w:rsidRPr="00883399">
              <w:rPr>
                <w:rFonts w:asciiTheme="minorHAnsi" w:hAnsiTheme="minorHAnsi" w:cstheme="minorHAnsi"/>
                <w:spacing w:val="-12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αποτελεσμάτων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19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υπάρχει δυνατότητα λειτουργίας είτε σαν </w:t>
            </w:r>
            <w:r w:rsidRPr="00883399">
              <w:rPr>
                <w:rFonts w:asciiTheme="minorHAnsi" w:hAnsiTheme="minorHAnsi" w:cstheme="minorHAnsi"/>
                <w:szCs w:val="22"/>
              </w:rPr>
              <w:t>stand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-</w:t>
            </w:r>
            <w:r w:rsidRPr="00883399">
              <w:rPr>
                <w:rFonts w:asciiTheme="minorHAnsi" w:hAnsiTheme="minorHAnsi" w:cstheme="minorHAnsi"/>
                <w:szCs w:val="22"/>
              </w:rPr>
              <w:t>alone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αναλυτής, μέσω ενσωματωμένης οθόνη αφής, αλλά και δυνατότητα σύνδεσης με</w:t>
            </w:r>
            <w:r w:rsidRPr="00883399">
              <w:rPr>
                <w:rFonts w:asciiTheme="minorHAnsi" w:hAnsiTheme="minorHAnsi" w:cstheme="minorHAnsi"/>
                <w:spacing w:val="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Η</w:t>
            </w:r>
            <w:r w:rsidRPr="00883399">
              <w:rPr>
                <w:rFonts w:asciiTheme="minorHAnsi" w:hAnsiTheme="minorHAnsi" w:cstheme="minorHAnsi"/>
                <w:szCs w:val="22"/>
              </w:rPr>
              <w:t>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διαθέτει ενσωματωμένο </w:t>
            </w:r>
            <w:r w:rsidRPr="00883399">
              <w:rPr>
                <w:rFonts w:asciiTheme="minorHAnsi" w:hAnsiTheme="minorHAnsi" w:cstheme="minorHAnsi"/>
                <w:szCs w:val="22"/>
              </w:rPr>
              <w:t>barcode</w:t>
            </w:r>
            <w:r w:rsidRPr="00883399">
              <w:rPr>
                <w:rFonts w:asciiTheme="minorHAnsi" w:hAnsiTheme="minorHAnsi" w:cstheme="minorHAnsi"/>
                <w:spacing w:val="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reader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υπάρχει δυνατότητα σύνδεσης σε </w:t>
            </w:r>
            <w:r w:rsidRPr="00883399">
              <w:rPr>
                <w:rFonts w:asciiTheme="minorHAnsi" w:hAnsiTheme="minorHAnsi" w:cstheme="minorHAnsi"/>
                <w:szCs w:val="22"/>
              </w:rPr>
              <w:t>LIS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για αποτελεσματική και ασφαλή μεταφορά</w:t>
            </w:r>
            <w:r w:rsidRPr="00883399">
              <w:rPr>
                <w:rFonts w:asciiTheme="minorHAnsi" w:hAnsiTheme="minorHAnsi" w:cstheme="minorHAnsi"/>
                <w:spacing w:val="-1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δεδομένων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22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διαθέτει οπτικοακουστικό σύστημα προειδοποίησης σε περιπτώσεις ανεπαρκούς δείγματος ή αντιδραστηρίου και λειτουργικού προβλήματος με δυνατότητα διόρθωσης του προβλήματος επί</w:t>
            </w:r>
            <w:r w:rsidRPr="00883399">
              <w:rPr>
                <w:rFonts w:asciiTheme="minorHAnsi" w:hAnsiTheme="minorHAnsi" w:cstheme="minorHAnsi"/>
                <w:spacing w:val="-31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τόπου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23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διατίθεται λογισμικό διαχείρισης-ανάλυσης. Το λογισμικό να διαθέτει μεγάλη βάση δεδομένων, </w:t>
            </w:r>
            <w:r w:rsidRPr="00883399">
              <w:rPr>
                <w:rFonts w:asciiTheme="minorHAnsi" w:hAnsiTheme="minorHAnsi" w:cstheme="minorHAnsi"/>
                <w:spacing w:val="-3"/>
                <w:szCs w:val="22"/>
                <w:lang w:val="el-GR"/>
              </w:rPr>
              <w:t xml:space="preserve">με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αποτέλεσμα το ιστορικό των ασθενών καθώς και τα αποτελέσματα των εξετάσεων να μπορούν να ανακληθούν ανά πάσα χρονική στιγμή. Επίσης, να υπάρχει η δυνατότητα προσθήκης νέων παραμέτρων ή νέων εξετάσεων ανάλογα με τις ανάγκες του</w:t>
            </w:r>
            <w:r w:rsidRPr="00883399">
              <w:rPr>
                <w:rFonts w:asciiTheme="minorHAnsi" w:hAnsiTheme="minorHAnsi" w:cstheme="minorHAnsi"/>
                <w:spacing w:val="-9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εργαστηρίου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24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υπάρχει δυνατότητα πρόσβασης σε αναβαθμισμένες μεθόδους, καθώς και απομακρυσμένη επίλυση προβλημάτων και υποστήριξη, μέσω σύνδεσης σε </w:t>
            </w:r>
            <w:r w:rsidRPr="00883399">
              <w:rPr>
                <w:rFonts w:asciiTheme="minorHAnsi" w:hAnsiTheme="minorHAnsi" w:cstheme="minorHAnsi"/>
                <w:szCs w:val="22"/>
              </w:rPr>
              <w:t>Software</w:t>
            </w:r>
            <w:r w:rsidRPr="00883399">
              <w:rPr>
                <w:rFonts w:asciiTheme="minorHAnsi" w:hAnsiTheme="minorHAnsi" w:cstheme="minorHAnsi"/>
                <w:spacing w:val="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Application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25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Να λειτουργεί σε τάση: 110 - 240 </w:t>
            </w:r>
            <w:r w:rsidRPr="00883399">
              <w:rPr>
                <w:rFonts w:asciiTheme="minorHAnsi" w:hAnsiTheme="minorHAnsi" w:cstheme="minorHAnsi"/>
                <w:szCs w:val="22"/>
              </w:rPr>
              <w:t>VAC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 xml:space="preserve"> 50 - 60</w:t>
            </w:r>
            <w:r w:rsidRPr="00883399">
              <w:rPr>
                <w:rFonts w:asciiTheme="minorHAnsi" w:hAnsiTheme="minorHAnsi" w:cstheme="minorHAnsi"/>
                <w:spacing w:val="-4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Hz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26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Να έχει δυνατότητα συμμετοχής σε παγκόσμιο πρόγραμμα ποιότητας μετρήσεων (</w:t>
            </w:r>
            <w:r w:rsidRPr="00883399">
              <w:rPr>
                <w:rFonts w:asciiTheme="minorHAnsi" w:hAnsiTheme="minorHAnsi" w:cstheme="minorHAnsi"/>
                <w:szCs w:val="22"/>
              </w:rPr>
              <w:t>QC</w:t>
            </w:r>
            <w:r w:rsidRPr="00883399">
              <w:rPr>
                <w:rFonts w:asciiTheme="minorHAnsi" w:hAnsiTheme="minorHAnsi" w:cstheme="minorHAnsi"/>
                <w:spacing w:val="-13"/>
                <w:szCs w:val="22"/>
                <w:lang w:val="el-GR"/>
              </w:rPr>
              <w:t xml:space="preserve"> </w:t>
            </w:r>
            <w:r w:rsidRPr="00883399">
              <w:rPr>
                <w:rFonts w:asciiTheme="minorHAnsi" w:hAnsiTheme="minorHAnsi" w:cstheme="minorHAnsi"/>
                <w:szCs w:val="22"/>
              </w:rPr>
              <w:t>Club</w:t>
            </w: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27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pStyle w:val="20"/>
              <w:widowControl w:val="0"/>
              <w:tabs>
                <w:tab w:val="left" w:pos="528"/>
              </w:tabs>
              <w:autoSpaceDE w:val="0"/>
              <w:autoSpaceDN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3399">
              <w:rPr>
                <w:rFonts w:asciiTheme="minorHAnsi" w:hAnsiTheme="minorHAnsi" w:cstheme="minorHAnsi"/>
                <w:sz w:val="22"/>
                <w:szCs w:val="22"/>
              </w:rPr>
              <w:t xml:space="preserve">Να διαθέτει </w:t>
            </w:r>
            <w:proofErr w:type="spellStart"/>
            <w:r w:rsidRPr="00883399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proofErr w:type="spellEnd"/>
            <w:r w:rsidRPr="00883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3399">
              <w:rPr>
                <w:rFonts w:asciiTheme="minorHAnsi" w:hAnsiTheme="minorHAnsi" w:cstheme="minorHAnsi"/>
                <w:sz w:val="22"/>
                <w:szCs w:val="22"/>
              </w:rPr>
              <w:t>Mark</w:t>
            </w:r>
            <w:proofErr w:type="spellEnd"/>
            <w:r w:rsidRPr="00883399">
              <w:rPr>
                <w:rFonts w:asciiTheme="minorHAnsi" w:hAnsiTheme="minorHAnsi" w:cstheme="minorHAnsi"/>
                <w:sz w:val="22"/>
                <w:szCs w:val="22"/>
              </w:rPr>
              <w:t xml:space="preserve">, έγκριση ασφαλείας </w:t>
            </w:r>
            <w:proofErr w:type="spellStart"/>
            <w:r w:rsidRPr="0088339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83399">
              <w:rPr>
                <w:rFonts w:asciiTheme="minorHAnsi" w:hAnsiTheme="minorHAnsi" w:cstheme="minorHAnsi"/>
                <w:sz w:val="22"/>
                <w:szCs w:val="22"/>
              </w:rPr>
              <w:t xml:space="preserve"> 61010-1:2001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28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pacing w:val="-10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Εκτός συγκεκριμένων εξαιρέσεων,  τα αντιδραστήρια να  έχουν χρόνο ζωής κατά μέσο όρο πάνω ένα χρόνο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29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spacing w:after="0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Ο αναλυτής να αποβάλλει  όλα τα στερεά και υγρά  απόβλητα σε ενσωματωμένο περιέκτη στερεών και υγρών αποβλήτων, αντίστοιχα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30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spacing w:after="0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Ο αναλυτής  να συνοδεύεται με εξωτερικό Η/Υ με προ-εγκατεστημένο  πρόγραμμα διαχείρισης-ανάλυσης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31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spacing w:after="0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Η εταιρεία  επιβαρύνεται με την εκπαίδευση του προσωπικού καθώς και με  το κόστος εγκατάστασης του αναλυτή μέχρι και το χώρο που θα υποδείξει το εργαστήριο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  <w:tr w:rsidR="00C21B64" w:rsidRPr="00883399" w:rsidTr="00074086">
        <w:tc>
          <w:tcPr>
            <w:tcW w:w="578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32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C21B64" w:rsidRPr="00883399" w:rsidRDefault="00C21B64" w:rsidP="00074086">
            <w:pPr>
              <w:spacing w:after="0"/>
              <w:rPr>
                <w:rFonts w:asciiTheme="minorHAnsi" w:hAnsiTheme="minorHAnsi" w:cstheme="minorHAnsi"/>
                <w:spacing w:val="-7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/>
              </w:rPr>
              <w:t>Η εταιρεία υποχρεούται παροχής άμεσης τεχνικής υποστήριξης και ανταπόκρισης όταν ζητηθεί, σε χρόνο λιγότερο από 24ώρες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lang w:val="el-GR" w:eastAsia="el-GR"/>
              </w:rPr>
            </w:pPr>
            <w:r w:rsidRPr="00883399">
              <w:rPr>
                <w:rFonts w:asciiTheme="minorHAnsi" w:hAnsiTheme="minorHAnsi" w:cstheme="minorHAnsi"/>
                <w:szCs w:val="22"/>
                <w:lang w:val="el-GR" w:eastAsia="el-GR"/>
              </w:rPr>
              <w:t>ΝΑΙ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21B64" w:rsidRPr="00883399" w:rsidRDefault="00C21B64" w:rsidP="00074086">
            <w:pPr>
              <w:widowControl w:val="0"/>
              <w:shd w:val="clear" w:color="auto" w:fill="FFFFFF"/>
              <w:tabs>
                <w:tab w:val="left" w:pos="66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lang w:val="el-GR" w:eastAsia="el-GR"/>
              </w:rPr>
            </w:pPr>
          </w:p>
        </w:tc>
      </w:tr>
    </w:tbl>
    <w:p w:rsidR="008F168F" w:rsidRDefault="008F168F" w:rsidP="00C21B64"/>
    <w:sectPr w:rsidR="008F168F" w:rsidSect="00C21B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64"/>
    <w:rsid w:val="00316531"/>
    <w:rsid w:val="006B497A"/>
    <w:rsid w:val="008F168F"/>
    <w:rsid w:val="00C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0506F"/>
  <w15:docId w15:val="{4D07E873-0974-49FA-B275-3D328480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B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21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C21B64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qFormat/>
    <w:rsid w:val="00C21B64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10">
    <w:name w:val="Παράγραφος λίστας1"/>
    <w:basedOn w:val="a"/>
    <w:uiPriority w:val="1"/>
    <w:qFormat/>
    <w:rsid w:val="00C21B64"/>
    <w:pPr>
      <w:spacing w:after="200"/>
      <w:ind w:left="720"/>
    </w:pPr>
  </w:style>
  <w:style w:type="paragraph" w:customStyle="1" w:styleId="normalwithoutspacing">
    <w:name w:val="normal_without_spacing"/>
    <w:basedOn w:val="a"/>
    <w:rsid w:val="00C21B64"/>
    <w:pPr>
      <w:spacing w:after="60"/>
    </w:pPr>
    <w:rPr>
      <w:lang w:val="el-GR"/>
    </w:rPr>
  </w:style>
  <w:style w:type="paragraph" w:customStyle="1" w:styleId="20">
    <w:name w:val="Παράγραφος λίστας2"/>
    <w:basedOn w:val="a"/>
    <w:qFormat/>
    <w:rsid w:val="00C21B64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C2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4071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2022-10-18T07:03:00Z</dcterms:created>
  <dcterms:modified xsi:type="dcterms:W3CDTF">2022-12-28T14:22:00Z</dcterms:modified>
</cp:coreProperties>
</file>