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187" w:rsidRPr="001957E1" w:rsidRDefault="001C1187" w:rsidP="001C1187">
      <w:pPr>
        <w:jc w:val="center"/>
        <w:rPr>
          <w:b/>
        </w:rPr>
      </w:pPr>
      <w:r w:rsidRPr="001957E1">
        <w:rPr>
          <w:b/>
        </w:rPr>
        <w:t>ΠΙΝΑΚΑΣ ΣΥΜΜΟΡΦΩΣΗΣ</w:t>
      </w:r>
    </w:p>
    <w:p w:rsidR="001C1187" w:rsidRPr="001957E1" w:rsidRDefault="001C1187" w:rsidP="001C1187">
      <w:pPr>
        <w:jc w:val="center"/>
        <w:rPr>
          <w:b/>
          <w:bCs/>
        </w:rPr>
      </w:pPr>
    </w:p>
    <w:tbl>
      <w:tblPr>
        <w:tblW w:w="10952" w:type="dxa"/>
        <w:tblInd w:w="-972" w:type="dxa"/>
        <w:tblLook w:val="04A0"/>
      </w:tblPr>
      <w:tblGrid>
        <w:gridCol w:w="654"/>
        <w:gridCol w:w="5955"/>
        <w:gridCol w:w="1170"/>
        <w:gridCol w:w="1523"/>
        <w:gridCol w:w="1650"/>
      </w:tblGrid>
      <w:tr w:rsidR="001C1187" w:rsidRPr="00CD7687" w:rsidTr="000D315E">
        <w:trPr>
          <w:trHeight w:val="800"/>
        </w:trPr>
        <w:tc>
          <w:tcPr>
            <w:tcW w:w="654" w:type="dxa"/>
            <w:tcBorders>
              <w:top w:val="single" w:sz="8" w:space="0" w:color="auto"/>
              <w:left w:val="single" w:sz="8" w:space="0" w:color="auto"/>
              <w:bottom w:val="single" w:sz="4" w:space="0" w:color="auto"/>
              <w:right w:val="single" w:sz="4" w:space="0" w:color="auto"/>
            </w:tcBorders>
            <w:shd w:val="clear" w:color="auto" w:fill="auto"/>
            <w:vAlign w:val="center"/>
          </w:tcPr>
          <w:p w:rsidR="001C1187" w:rsidRPr="00CD7687" w:rsidRDefault="001C1187" w:rsidP="000D315E">
            <w:pPr>
              <w:jc w:val="center"/>
              <w:rPr>
                <w:b/>
                <w:sz w:val="22"/>
                <w:szCs w:val="22"/>
              </w:rPr>
            </w:pPr>
            <w:r w:rsidRPr="00CD7687">
              <w:rPr>
                <w:b/>
                <w:sz w:val="22"/>
                <w:szCs w:val="22"/>
              </w:rPr>
              <w:t>Α/Α</w:t>
            </w:r>
          </w:p>
        </w:tc>
        <w:tc>
          <w:tcPr>
            <w:tcW w:w="5955" w:type="dxa"/>
            <w:tcBorders>
              <w:top w:val="single" w:sz="8" w:space="0" w:color="auto"/>
              <w:left w:val="nil"/>
              <w:bottom w:val="single" w:sz="4" w:space="0" w:color="auto"/>
              <w:right w:val="single" w:sz="4" w:space="0" w:color="auto"/>
            </w:tcBorders>
            <w:shd w:val="clear" w:color="auto" w:fill="auto"/>
            <w:vAlign w:val="center"/>
          </w:tcPr>
          <w:p w:rsidR="001C1187" w:rsidRPr="00CD7687" w:rsidRDefault="001C1187" w:rsidP="000D315E">
            <w:pPr>
              <w:ind w:hanging="59"/>
              <w:jc w:val="center"/>
              <w:rPr>
                <w:b/>
                <w:sz w:val="22"/>
                <w:szCs w:val="22"/>
              </w:rPr>
            </w:pPr>
            <w:r w:rsidRPr="00CD7687">
              <w:rPr>
                <w:b/>
                <w:sz w:val="22"/>
                <w:szCs w:val="22"/>
              </w:rPr>
              <w:t>ΤΕΧΝΙΚΕΣ ΠΡΟΔΙΑΓΡΑΦΕΣ</w:t>
            </w:r>
          </w:p>
        </w:tc>
        <w:tc>
          <w:tcPr>
            <w:tcW w:w="1170" w:type="dxa"/>
            <w:tcBorders>
              <w:top w:val="single" w:sz="8" w:space="0" w:color="auto"/>
              <w:left w:val="nil"/>
              <w:bottom w:val="single" w:sz="4" w:space="0" w:color="auto"/>
              <w:right w:val="single" w:sz="4" w:space="0" w:color="auto"/>
            </w:tcBorders>
            <w:shd w:val="clear" w:color="auto" w:fill="auto"/>
            <w:vAlign w:val="center"/>
          </w:tcPr>
          <w:p w:rsidR="001C1187" w:rsidRPr="00CD7687" w:rsidRDefault="001C1187" w:rsidP="000D315E">
            <w:pPr>
              <w:jc w:val="center"/>
              <w:rPr>
                <w:b/>
                <w:sz w:val="22"/>
                <w:szCs w:val="22"/>
              </w:rPr>
            </w:pPr>
            <w:r w:rsidRPr="00CD7687">
              <w:rPr>
                <w:b/>
                <w:sz w:val="22"/>
                <w:szCs w:val="22"/>
              </w:rPr>
              <w:t>ΑΠΑΙΤΗΣΗ</w:t>
            </w:r>
          </w:p>
        </w:tc>
        <w:tc>
          <w:tcPr>
            <w:tcW w:w="1523" w:type="dxa"/>
            <w:tcBorders>
              <w:top w:val="single" w:sz="8" w:space="0" w:color="auto"/>
              <w:left w:val="nil"/>
              <w:bottom w:val="single" w:sz="4" w:space="0" w:color="auto"/>
              <w:right w:val="single" w:sz="4" w:space="0" w:color="auto"/>
            </w:tcBorders>
            <w:shd w:val="clear" w:color="auto" w:fill="auto"/>
            <w:vAlign w:val="center"/>
          </w:tcPr>
          <w:p w:rsidR="001C1187" w:rsidRPr="00CD7687" w:rsidRDefault="001C1187" w:rsidP="000D315E">
            <w:pPr>
              <w:jc w:val="center"/>
              <w:rPr>
                <w:b/>
                <w:sz w:val="22"/>
                <w:szCs w:val="22"/>
              </w:rPr>
            </w:pPr>
            <w:r w:rsidRPr="00CD7687">
              <w:rPr>
                <w:b/>
                <w:sz w:val="22"/>
                <w:szCs w:val="22"/>
              </w:rPr>
              <w:t>ΑΠΑΝΤΗΣΗ</w:t>
            </w:r>
          </w:p>
        </w:tc>
        <w:tc>
          <w:tcPr>
            <w:tcW w:w="1650" w:type="dxa"/>
            <w:tcBorders>
              <w:top w:val="single" w:sz="8" w:space="0" w:color="auto"/>
              <w:left w:val="nil"/>
              <w:bottom w:val="single" w:sz="4" w:space="0" w:color="auto"/>
              <w:right w:val="single" w:sz="8" w:space="0" w:color="auto"/>
            </w:tcBorders>
            <w:shd w:val="clear" w:color="auto" w:fill="auto"/>
            <w:vAlign w:val="center"/>
          </w:tcPr>
          <w:p w:rsidR="001C1187" w:rsidRPr="00CD7687" w:rsidRDefault="001C1187" w:rsidP="000D315E">
            <w:pPr>
              <w:jc w:val="center"/>
              <w:rPr>
                <w:b/>
                <w:sz w:val="22"/>
                <w:szCs w:val="22"/>
              </w:rPr>
            </w:pPr>
            <w:r w:rsidRPr="00CD7687">
              <w:rPr>
                <w:b/>
                <w:sz w:val="22"/>
                <w:szCs w:val="22"/>
              </w:rPr>
              <w:t>ΠΑΡΑΠΟΜΠΗ</w:t>
            </w:r>
          </w:p>
        </w:tc>
      </w:tr>
      <w:tr w:rsidR="001C1187" w:rsidRPr="00CD7687" w:rsidTr="000D315E">
        <w:trPr>
          <w:trHeight w:val="300"/>
        </w:trPr>
        <w:tc>
          <w:tcPr>
            <w:tcW w:w="654" w:type="dxa"/>
            <w:tcBorders>
              <w:top w:val="nil"/>
              <w:left w:val="single" w:sz="8" w:space="0" w:color="auto"/>
              <w:bottom w:val="single" w:sz="4" w:space="0" w:color="auto"/>
              <w:right w:val="single" w:sz="4" w:space="0" w:color="auto"/>
            </w:tcBorders>
            <w:shd w:val="clear" w:color="auto" w:fill="auto"/>
            <w:noWrap/>
            <w:vAlign w:val="center"/>
          </w:tcPr>
          <w:p w:rsidR="001C1187" w:rsidRPr="00CD7687" w:rsidRDefault="001C1187" w:rsidP="000D315E">
            <w:pPr>
              <w:jc w:val="center"/>
              <w:rPr>
                <w:sz w:val="22"/>
                <w:szCs w:val="22"/>
              </w:rPr>
            </w:pPr>
            <w:r w:rsidRPr="00CD7687">
              <w:rPr>
                <w:sz w:val="22"/>
                <w:szCs w:val="22"/>
              </w:rPr>
              <w:t>1</w:t>
            </w:r>
          </w:p>
        </w:tc>
        <w:tc>
          <w:tcPr>
            <w:tcW w:w="5955" w:type="dxa"/>
            <w:tcBorders>
              <w:top w:val="nil"/>
              <w:left w:val="nil"/>
              <w:bottom w:val="single" w:sz="4" w:space="0" w:color="auto"/>
              <w:right w:val="single" w:sz="4" w:space="0" w:color="auto"/>
            </w:tcBorders>
            <w:shd w:val="clear" w:color="auto" w:fill="auto"/>
            <w:noWrap/>
            <w:vAlign w:val="center"/>
          </w:tcPr>
          <w:p w:rsidR="001C1187" w:rsidRPr="00CD7687" w:rsidRDefault="001C1187" w:rsidP="000D315E">
            <w:pPr>
              <w:ind w:firstLine="720"/>
              <w:jc w:val="both"/>
              <w:rPr>
                <w:sz w:val="22"/>
                <w:szCs w:val="22"/>
              </w:rPr>
            </w:pPr>
            <w:r w:rsidRPr="00CD7687">
              <w:rPr>
                <w:sz w:val="22"/>
                <w:szCs w:val="22"/>
                <w:lang w:val="en-US"/>
              </w:rPr>
              <w:t>H</w:t>
            </w:r>
            <w:r w:rsidRPr="00CD7687">
              <w:rPr>
                <w:sz w:val="22"/>
                <w:szCs w:val="22"/>
              </w:rPr>
              <w:t xml:space="preserve"> ασφαλιστική κάλυψη αφορά: 6 ειδικούς ιατρούς (</w:t>
            </w:r>
            <w:proofErr w:type="spellStart"/>
            <w:r w:rsidRPr="00CD7687">
              <w:rPr>
                <w:sz w:val="22"/>
                <w:szCs w:val="22"/>
              </w:rPr>
              <w:t>εξ΄</w:t>
            </w:r>
            <w:proofErr w:type="spellEnd"/>
            <w:r w:rsidRPr="00CD7687">
              <w:rPr>
                <w:sz w:val="22"/>
                <w:szCs w:val="22"/>
              </w:rPr>
              <w:t xml:space="preserve"> αυτών η μία θέση προβλέπεται για τον εκάστοτε επίκουρο ιατρό που υπηρετεί στην κλινική), 4 ειδικευόμενους ιατρούς και 3 Συντονιστές – </w:t>
            </w:r>
            <w:proofErr w:type="spellStart"/>
            <w:proofErr w:type="gramStart"/>
            <w:r w:rsidRPr="00CD7687">
              <w:rPr>
                <w:sz w:val="22"/>
                <w:szCs w:val="22"/>
              </w:rPr>
              <w:t>τριες</w:t>
            </w:r>
            <w:proofErr w:type="spellEnd"/>
            <w:r w:rsidRPr="00CD7687">
              <w:rPr>
                <w:sz w:val="22"/>
                <w:szCs w:val="22"/>
              </w:rPr>
              <w:t xml:space="preserve">  Μεταμοσχεύσεων</w:t>
            </w:r>
            <w:proofErr w:type="gramEnd"/>
            <w:r w:rsidRPr="00CD7687">
              <w:rPr>
                <w:sz w:val="22"/>
                <w:szCs w:val="22"/>
              </w:rPr>
              <w:t>.</w:t>
            </w:r>
          </w:p>
          <w:p w:rsidR="001C1187" w:rsidRPr="00CD7687" w:rsidRDefault="001C1187" w:rsidP="000D315E">
            <w:pPr>
              <w:jc w:val="both"/>
              <w:rPr>
                <w:sz w:val="22"/>
                <w:szCs w:val="22"/>
              </w:rPr>
            </w:pPr>
          </w:p>
        </w:tc>
        <w:tc>
          <w:tcPr>
            <w:tcW w:w="1170" w:type="dxa"/>
            <w:tcBorders>
              <w:top w:val="nil"/>
              <w:left w:val="nil"/>
              <w:bottom w:val="single" w:sz="4" w:space="0" w:color="auto"/>
              <w:right w:val="single" w:sz="4" w:space="0" w:color="auto"/>
            </w:tcBorders>
            <w:shd w:val="clear" w:color="auto" w:fill="auto"/>
            <w:noWrap/>
            <w:vAlign w:val="center"/>
          </w:tcPr>
          <w:p w:rsidR="001C1187" w:rsidRPr="00CD7687" w:rsidRDefault="001C1187" w:rsidP="000D315E">
            <w:pPr>
              <w:jc w:val="center"/>
              <w:rPr>
                <w:sz w:val="22"/>
                <w:szCs w:val="22"/>
              </w:rPr>
            </w:pPr>
            <w:r w:rsidRPr="00CD7687">
              <w:rPr>
                <w:sz w:val="22"/>
                <w:szCs w:val="22"/>
              </w:rPr>
              <w:t>ΝΑΙ</w:t>
            </w:r>
          </w:p>
        </w:tc>
        <w:tc>
          <w:tcPr>
            <w:tcW w:w="1523" w:type="dxa"/>
            <w:tcBorders>
              <w:top w:val="nil"/>
              <w:left w:val="nil"/>
              <w:bottom w:val="single" w:sz="4" w:space="0" w:color="auto"/>
              <w:right w:val="single" w:sz="4" w:space="0" w:color="auto"/>
            </w:tcBorders>
            <w:shd w:val="clear" w:color="auto" w:fill="auto"/>
            <w:noWrap/>
            <w:vAlign w:val="center"/>
          </w:tcPr>
          <w:p w:rsidR="001C1187" w:rsidRPr="00CD7687" w:rsidRDefault="001C1187" w:rsidP="000D315E">
            <w:pPr>
              <w:jc w:val="center"/>
              <w:rPr>
                <w:sz w:val="22"/>
                <w:szCs w:val="22"/>
              </w:rPr>
            </w:pPr>
          </w:p>
        </w:tc>
        <w:tc>
          <w:tcPr>
            <w:tcW w:w="1650" w:type="dxa"/>
            <w:tcBorders>
              <w:top w:val="nil"/>
              <w:left w:val="nil"/>
              <w:bottom w:val="single" w:sz="4" w:space="0" w:color="auto"/>
              <w:right w:val="single" w:sz="8" w:space="0" w:color="auto"/>
            </w:tcBorders>
            <w:shd w:val="clear" w:color="auto" w:fill="auto"/>
            <w:noWrap/>
            <w:vAlign w:val="center"/>
          </w:tcPr>
          <w:p w:rsidR="001C1187" w:rsidRPr="00CD7687" w:rsidRDefault="001C1187" w:rsidP="000D315E">
            <w:pPr>
              <w:jc w:val="center"/>
              <w:rPr>
                <w:sz w:val="22"/>
                <w:szCs w:val="22"/>
              </w:rPr>
            </w:pPr>
          </w:p>
        </w:tc>
      </w:tr>
      <w:tr w:rsidR="001C1187" w:rsidRPr="00CD7687" w:rsidTr="000D315E">
        <w:trPr>
          <w:trHeight w:val="300"/>
        </w:trPr>
        <w:tc>
          <w:tcPr>
            <w:tcW w:w="654" w:type="dxa"/>
            <w:tcBorders>
              <w:top w:val="nil"/>
              <w:left w:val="single" w:sz="8" w:space="0" w:color="auto"/>
              <w:bottom w:val="single" w:sz="4" w:space="0" w:color="auto"/>
              <w:right w:val="single" w:sz="4" w:space="0" w:color="auto"/>
            </w:tcBorders>
            <w:shd w:val="clear" w:color="auto" w:fill="auto"/>
            <w:noWrap/>
            <w:vAlign w:val="center"/>
          </w:tcPr>
          <w:p w:rsidR="001C1187" w:rsidRPr="00CD7687" w:rsidRDefault="001C1187" w:rsidP="000D315E">
            <w:pPr>
              <w:jc w:val="center"/>
              <w:rPr>
                <w:sz w:val="22"/>
                <w:szCs w:val="22"/>
              </w:rPr>
            </w:pPr>
            <w:r w:rsidRPr="00CD7687">
              <w:rPr>
                <w:sz w:val="22"/>
                <w:szCs w:val="22"/>
              </w:rPr>
              <w:t>2</w:t>
            </w:r>
          </w:p>
        </w:tc>
        <w:tc>
          <w:tcPr>
            <w:tcW w:w="5955" w:type="dxa"/>
            <w:tcBorders>
              <w:top w:val="nil"/>
              <w:left w:val="nil"/>
              <w:bottom w:val="single" w:sz="4" w:space="0" w:color="auto"/>
              <w:right w:val="single" w:sz="4" w:space="0" w:color="auto"/>
            </w:tcBorders>
            <w:shd w:val="clear" w:color="auto" w:fill="auto"/>
            <w:noWrap/>
            <w:vAlign w:val="center"/>
          </w:tcPr>
          <w:p w:rsidR="001C1187" w:rsidRPr="00CD7687" w:rsidRDefault="001C1187" w:rsidP="000D315E">
            <w:pPr>
              <w:ind w:firstLine="720"/>
              <w:jc w:val="both"/>
              <w:rPr>
                <w:sz w:val="22"/>
                <w:szCs w:val="22"/>
              </w:rPr>
            </w:pPr>
            <w:r w:rsidRPr="00CD7687">
              <w:rPr>
                <w:sz w:val="22"/>
                <w:szCs w:val="22"/>
              </w:rPr>
              <w:t xml:space="preserve">Η ασφαλιστική κάλυψη πρέπει να περιλαμβάνει οποιασδήποτε αιτιολογίας ατύχημα, το οποίο θα συνέβαινε από την ώρα αναχωρήσεως από το Ιπποκράτειο Νοσοκομείο, μέχρι την επιστροφή της ομάδας λήψεως οργάνων στη βάση της, εντός της ελληνικής επικράτειας αλλά και σε χώρες της Ευρώπης. Θα αφορά όλα τα μέσα μετακίνησης που μπορεί να χρησιμοποιηθούν κατά περίσταση από την ομάδα, όπως ιδιωτικό αυτοκίνητο (Ι.Χ.), δημόσια μέσα μεταφοράς, ιδιωτών επαγγελματιών (ΤΑΧΙ, Λεωφορεία </w:t>
            </w:r>
            <w:proofErr w:type="spellStart"/>
            <w:r w:rsidRPr="00CD7687">
              <w:rPr>
                <w:sz w:val="22"/>
                <w:szCs w:val="22"/>
              </w:rPr>
              <w:t>κ.λ.π</w:t>
            </w:r>
            <w:proofErr w:type="spellEnd"/>
            <w:r w:rsidRPr="00CD7687">
              <w:rPr>
                <w:sz w:val="22"/>
                <w:szCs w:val="22"/>
              </w:rPr>
              <w:t>.), μέσα μεταφοράς ιδιωτικών εταιρειών και κρατικά μέσα μεταφοράς πολιτικά ή στρατιωτικά.</w:t>
            </w:r>
          </w:p>
        </w:tc>
        <w:tc>
          <w:tcPr>
            <w:tcW w:w="1170" w:type="dxa"/>
            <w:tcBorders>
              <w:top w:val="nil"/>
              <w:left w:val="nil"/>
              <w:bottom w:val="single" w:sz="4" w:space="0" w:color="auto"/>
              <w:right w:val="single" w:sz="4" w:space="0" w:color="auto"/>
            </w:tcBorders>
            <w:shd w:val="clear" w:color="auto" w:fill="auto"/>
            <w:noWrap/>
            <w:vAlign w:val="center"/>
          </w:tcPr>
          <w:p w:rsidR="001C1187" w:rsidRPr="00CD7687" w:rsidRDefault="001C1187" w:rsidP="000D315E">
            <w:pPr>
              <w:jc w:val="center"/>
              <w:rPr>
                <w:sz w:val="22"/>
                <w:szCs w:val="22"/>
              </w:rPr>
            </w:pPr>
            <w:r w:rsidRPr="00CD7687">
              <w:rPr>
                <w:sz w:val="22"/>
                <w:szCs w:val="22"/>
              </w:rPr>
              <w:t>ΝΑΙ</w:t>
            </w:r>
          </w:p>
        </w:tc>
        <w:tc>
          <w:tcPr>
            <w:tcW w:w="1523" w:type="dxa"/>
            <w:tcBorders>
              <w:top w:val="nil"/>
              <w:left w:val="nil"/>
              <w:bottom w:val="single" w:sz="4" w:space="0" w:color="auto"/>
              <w:right w:val="single" w:sz="4" w:space="0" w:color="auto"/>
            </w:tcBorders>
            <w:shd w:val="clear" w:color="auto" w:fill="auto"/>
            <w:noWrap/>
            <w:vAlign w:val="center"/>
          </w:tcPr>
          <w:p w:rsidR="001C1187" w:rsidRPr="00CD7687" w:rsidRDefault="001C1187" w:rsidP="000D315E">
            <w:pPr>
              <w:jc w:val="center"/>
              <w:rPr>
                <w:sz w:val="22"/>
                <w:szCs w:val="22"/>
              </w:rPr>
            </w:pPr>
          </w:p>
        </w:tc>
        <w:tc>
          <w:tcPr>
            <w:tcW w:w="1650" w:type="dxa"/>
            <w:tcBorders>
              <w:top w:val="nil"/>
              <w:left w:val="nil"/>
              <w:bottom w:val="single" w:sz="4" w:space="0" w:color="auto"/>
              <w:right w:val="single" w:sz="8" w:space="0" w:color="auto"/>
            </w:tcBorders>
            <w:shd w:val="clear" w:color="auto" w:fill="auto"/>
            <w:noWrap/>
            <w:vAlign w:val="center"/>
          </w:tcPr>
          <w:p w:rsidR="001C1187" w:rsidRPr="00CD7687" w:rsidRDefault="001C1187" w:rsidP="000D315E">
            <w:pPr>
              <w:jc w:val="center"/>
              <w:rPr>
                <w:sz w:val="22"/>
                <w:szCs w:val="22"/>
              </w:rPr>
            </w:pPr>
          </w:p>
        </w:tc>
      </w:tr>
      <w:tr w:rsidR="001C1187" w:rsidRPr="00CD7687" w:rsidTr="000D315E">
        <w:trPr>
          <w:trHeight w:val="300"/>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187" w:rsidRPr="00CD7687" w:rsidRDefault="001C1187" w:rsidP="000D315E">
            <w:pPr>
              <w:jc w:val="center"/>
              <w:rPr>
                <w:sz w:val="22"/>
                <w:szCs w:val="22"/>
                <w:lang w:val="en-US"/>
              </w:rPr>
            </w:pPr>
            <w:r w:rsidRPr="00CD7687">
              <w:rPr>
                <w:sz w:val="22"/>
                <w:szCs w:val="22"/>
                <w:lang w:val="en-US"/>
              </w:rPr>
              <w:t>3</w:t>
            </w:r>
          </w:p>
        </w:tc>
        <w:tc>
          <w:tcPr>
            <w:tcW w:w="5955" w:type="dxa"/>
            <w:tcBorders>
              <w:top w:val="single" w:sz="4" w:space="0" w:color="auto"/>
              <w:left w:val="nil"/>
              <w:bottom w:val="single" w:sz="4" w:space="0" w:color="auto"/>
              <w:right w:val="single" w:sz="4" w:space="0" w:color="auto"/>
            </w:tcBorders>
            <w:shd w:val="clear" w:color="auto" w:fill="auto"/>
            <w:noWrap/>
            <w:vAlign w:val="center"/>
          </w:tcPr>
          <w:p w:rsidR="001C1187" w:rsidRPr="00CD7687" w:rsidRDefault="001C1187" w:rsidP="000D315E">
            <w:pPr>
              <w:ind w:firstLine="720"/>
              <w:jc w:val="both"/>
              <w:rPr>
                <w:sz w:val="22"/>
                <w:szCs w:val="22"/>
              </w:rPr>
            </w:pPr>
            <w:r w:rsidRPr="00CD7687">
              <w:rPr>
                <w:sz w:val="22"/>
                <w:szCs w:val="22"/>
              </w:rPr>
              <w:t>Η επιλογή του μέσου μεταφοράς επαφίεται στην κρίση του προσωπικού που απαρτίζει την ομάδα.</w:t>
            </w:r>
          </w:p>
          <w:p w:rsidR="001C1187" w:rsidRPr="00CD7687" w:rsidRDefault="001C1187" w:rsidP="000D315E">
            <w:pPr>
              <w:jc w:val="both"/>
              <w:rPr>
                <w:sz w:val="22"/>
                <w:szCs w:val="22"/>
              </w:rPr>
            </w:pPr>
            <w:r w:rsidRPr="00CD7687">
              <w:rPr>
                <w:sz w:val="22"/>
                <w:szCs w:val="22"/>
              </w:rPr>
              <w:t>Η ασφαλιστική κάλυψη πρέπει να περιλαμβάνει:</w:t>
            </w:r>
          </w:p>
          <w:p w:rsidR="001C1187" w:rsidRPr="00CD7687" w:rsidRDefault="001C1187" w:rsidP="000D315E">
            <w:pPr>
              <w:jc w:val="both"/>
              <w:rPr>
                <w:sz w:val="22"/>
                <w:szCs w:val="22"/>
              </w:rPr>
            </w:pPr>
            <w:r w:rsidRPr="00CD7687">
              <w:rPr>
                <w:sz w:val="22"/>
                <w:szCs w:val="22"/>
              </w:rPr>
              <w:t>α) Θάνατο από ατύχημα</w:t>
            </w:r>
          </w:p>
          <w:p w:rsidR="001C1187" w:rsidRPr="00CD7687" w:rsidRDefault="001C1187" w:rsidP="000D315E">
            <w:pPr>
              <w:jc w:val="both"/>
              <w:rPr>
                <w:sz w:val="22"/>
                <w:szCs w:val="22"/>
              </w:rPr>
            </w:pPr>
            <w:r w:rsidRPr="00CD7687">
              <w:rPr>
                <w:sz w:val="22"/>
                <w:szCs w:val="22"/>
              </w:rPr>
              <w:t>β) Μόνιμη ανικανότητα προς εργασία</w:t>
            </w:r>
          </w:p>
          <w:p w:rsidR="001C1187" w:rsidRPr="00CD7687" w:rsidRDefault="001C1187" w:rsidP="000D315E">
            <w:pPr>
              <w:jc w:val="both"/>
              <w:rPr>
                <w:sz w:val="22"/>
                <w:szCs w:val="22"/>
              </w:rPr>
            </w:pPr>
            <w:r w:rsidRPr="00CD7687">
              <w:rPr>
                <w:sz w:val="22"/>
                <w:szCs w:val="22"/>
              </w:rPr>
              <w:t>γ) Μόνιμη μερική ανικανότητα προς εργασία για 12 μήνες</w:t>
            </w:r>
          </w:p>
          <w:p w:rsidR="001C1187" w:rsidRPr="00CD7687" w:rsidRDefault="001C1187" w:rsidP="000D315E">
            <w:pPr>
              <w:jc w:val="both"/>
              <w:rPr>
                <w:sz w:val="22"/>
                <w:szCs w:val="22"/>
              </w:rPr>
            </w:pPr>
            <w:r w:rsidRPr="00CD7687">
              <w:rPr>
                <w:sz w:val="22"/>
                <w:szCs w:val="22"/>
              </w:rPr>
              <w:t>δ) Μηνιαία αποζημίωση ανικανότητας προς εργασία για 12 μήνες</w:t>
            </w:r>
          </w:p>
          <w:p w:rsidR="001C1187" w:rsidRPr="00CD7687" w:rsidRDefault="001C1187" w:rsidP="000D315E">
            <w:pPr>
              <w:jc w:val="both"/>
              <w:rPr>
                <w:sz w:val="22"/>
                <w:szCs w:val="22"/>
              </w:rPr>
            </w:pPr>
            <w:r w:rsidRPr="00CD7687">
              <w:rPr>
                <w:sz w:val="22"/>
                <w:szCs w:val="22"/>
              </w:rPr>
              <w:t>ε) Έξοδα νοσηλείας και ιατροφαρμακευτική περίθαλψη</w:t>
            </w:r>
          </w:p>
          <w:p w:rsidR="001C1187" w:rsidRPr="00CD7687" w:rsidRDefault="001C1187" w:rsidP="000D315E">
            <w:pPr>
              <w:jc w:val="both"/>
              <w:rPr>
                <w:sz w:val="22"/>
                <w:szCs w:val="22"/>
              </w:rPr>
            </w:pPr>
            <w:r w:rsidRPr="00CD7687">
              <w:rPr>
                <w:sz w:val="22"/>
                <w:szCs w:val="22"/>
              </w:rPr>
              <w:t>στ) Κάλυψη φυσιοθεραπειών μετά από ατύχημα.</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1C1187" w:rsidRPr="00CD7687" w:rsidRDefault="001C1187" w:rsidP="000D315E">
            <w:pPr>
              <w:jc w:val="center"/>
              <w:rPr>
                <w:sz w:val="22"/>
                <w:szCs w:val="22"/>
              </w:rPr>
            </w:pPr>
            <w:r w:rsidRPr="00CD7687">
              <w:rPr>
                <w:sz w:val="22"/>
                <w:szCs w:val="22"/>
              </w:rPr>
              <w:t>ΝΑΙ</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C1187" w:rsidRPr="00CD7687" w:rsidRDefault="001C1187" w:rsidP="000D315E">
            <w:pPr>
              <w:jc w:val="center"/>
              <w:rPr>
                <w:sz w:val="22"/>
                <w:szCs w:val="22"/>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1C1187" w:rsidRPr="00CD7687" w:rsidRDefault="001C1187" w:rsidP="000D315E">
            <w:pPr>
              <w:jc w:val="center"/>
              <w:rPr>
                <w:sz w:val="22"/>
                <w:szCs w:val="22"/>
              </w:rPr>
            </w:pPr>
          </w:p>
        </w:tc>
      </w:tr>
      <w:tr w:rsidR="001C1187" w:rsidRPr="00CD7687" w:rsidTr="000D315E">
        <w:trPr>
          <w:trHeight w:val="300"/>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187" w:rsidRPr="00CD7687" w:rsidRDefault="001C1187" w:rsidP="000D315E">
            <w:pPr>
              <w:jc w:val="center"/>
              <w:rPr>
                <w:sz w:val="22"/>
                <w:szCs w:val="22"/>
                <w:lang w:val="en-US"/>
              </w:rPr>
            </w:pPr>
            <w:r w:rsidRPr="00CD7687">
              <w:rPr>
                <w:sz w:val="22"/>
                <w:szCs w:val="22"/>
                <w:lang w:val="en-US"/>
              </w:rPr>
              <w:t>4</w:t>
            </w:r>
          </w:p>
        </w:tc>
        <w:tc>
          <w:tcPr>
            <w:tcW w:w="5955" w:type="dxa"/>
            <w:tcBorders>
              <w:top w:val="single" w:sz="4" w:space="0" w:color="auto"/>
              <w:left w:val="nil"/>
              <w:bottom w:val="single" w:sz="4" w:space="0" w:color="auto"/>
              <w:right w:val="single" w:sz="4" w:space="0" w:color="auto"/>
            </w:tcBorders>
            <w:shd w:val="clear" w:color="auto" w:fill="auto"/>
            <w:noWrap/>
            <w:vAlign w:val="center"/>
          </w:tcPr>
          <w:p w:rsidR="001C1187" w:rsidRPr="00CD7687" w:rsidRDefault="001C1187" w:rsidP="000D315E">
            <w:pPr>
              <w:ind w:firstLine="720"/>
              <w:jc w:val="both"/>
              <w:rPr>
                <w:sz w:val="22"/>
                <w:szCs w:val="22"/>
              </w:rPr>
            </w:pPr>
            <w:r w:rsidRPr="00CD7687">
              <w:rPr>
                <w:sz w:val="22"/>
                <w:szCs w:val="22"/>
              </w:rPr>
              <w:t>Εάν τα μέλη της μεταμοσχευτικής ομάδας μετά το ατύχημα δεν βρεθούν, να θεωρηθούν νεκροί και όχι αγνοούμενοι μετά την παρέλευση τριάντα ημερών.</w:t>
            </w:r>
          </w:p>
          <w:p w:rsidR="001C1187" w:rsidRPr="00CD7687" w:rsidRDefault="001C1187" w:rsidP="000D315E">
            <w:pPr>
              <w:jc w:val="both"/>
              <w:rPr>
                <w:sz w:val="22"/>
                <w:szCs w:val="22"/>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1C1187" w:rsidRPr="00CD7687" w:rsidRDefault="001C1187" w:rsidP="000D315E">
            <w:pPr>
              <w:jc w:val="center"/>
              <w:rPr>
                <w:sz w:val="22"/>
                <w:szCs w:val="22"/>
              </w:rPr>
            </w:pPr>
            <w:r w:rsidRPr="00CD7687">
              <w:rPr>
                <w:sz w:val="22"/>
                <w:szCs w:val="22"/>
              </w:rPr>
              <w:t>ΝΑΙ</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C1187" w:rsidRPr="00CD7687" w:rsidRDefault="001C1187" w:rsidP="000D315E">
            <w:pPr>
              <w:jc w:val="center"/>
              <w:rPr>
                <w:sz w:val="22"/>
                <w:szCs w:val="22"/>
              </w:rPr>
            </w:pP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1C1187" w:rsidRPr="00CD7687" w:rsidRDefault="001C1187" w:rsidP="000D315E">
            <w:pPr>
              <w:jc w:val="center"/>
              <w:rPr>
                <w:sz w:val="22"/>
                <w:szCs w:val="22"/>
              </w:rPr>
            </w:pPr>
          </w:p>
        </w:tc>
      </w:tr>
    </w:tbl>
    <w:p w:rsidR="001C1187" w:rsidRPr="001957E1" w:rsidRDefault="001C1187" w:rsidP="001C1187">
      <w:pPr>
        <w:jc w:val="center"/>
        <w:rPr>
          <w:b/>
          <w:bCs/>
        </w:rPr>
      </w:pPr>
    </w:p>
    <w:p w:rsidR="001C1187" w:rsidRDefault="001C1187" w:rsidP="001C1187">
      <w:pPr>
        <w:pStyle w:val="3"/>
        <w:rPr>
          <w:b/>
        </w:rPr>
      </w:pPr>
    </w:p>
    <w:p w:rsidR="001C1187" w:rsidRDefault="001C1187" w:rsidP="001C1187"/>
    <w:p w:rsidR="001C1187" w:rsidRDefault="001C1187" w:rsidP="001C1187"/>
    <w:p w:rsidR="001C1187" w:rsidRDefault="001C1187" w:rsidP="001C1187"/>
    <w:p w:rsidR="001C1187" w:rsidRDefault="001C1187" w:rsidP="001C1187"/>
    <w:p w:rsidR="001C1187" w:rsidRDefault="001C1187" w:rsidP="001C1187"/>
    <w:p w:rsidR="001C1187" w:rsidRPr="00C77234" w:rsidRDefault="001C1187" w:rsidP="001C1187"/>
    <w:p w:rsidR="001C1187" w:rsidRDefault="001C1187" w:rsidP="001C1187">
      <w:pPr>
        <w:pStyle w:val="3"/>
        <w:rPr>
          <w:b/>
        </w:rPr>
      </w:pPr>
    </w:p>
    <w:p w:rsidR="00B20C96" w:rsidRDefault="00B20C96" w:rsidP="001C1187"/>
    <w:sectPr w:rsidR="00B20C96" w:rsidSect="00B20C9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1187"/>
    <w:rsid w:val="001C1187"/>
    <w:rsid w:val="00B20C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187"/>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3">
    <w:name w:val="heading 3"/>
    <w:basedOn w:val="a"/>
    <w:next w:val="a"/>
    <w:link w:val="3Char"/>
    <w:qFormat/>
    <w:rsid w:val="001C1187"/>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1C1187"/>
    <w:rPr>
      <w:rFonts w:ascii="Calibri" w:eastAsia="Times New Roman" w:hAnsi="Calibri" w:cs="Calibri"/>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1217</Characters>
  <Application>Microsoft Office Word</Application>
  <DocSecurity>0</DocSecurity>
  <Lines>10</Lines>
  <Paragraphs>2</Paragraphs>
  <ScaleCrop>false</ScaleCrop>
  <Company>Hewlett-Packard Company</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2020-10-09T05:42:00Z</dcterms:created>
  <dcterms:modified xsi:type="dcterms:W3CDTF">2020-10-09T05:43:00Z</dcterms:modified>
</cp:coreProperties>
</file>